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BB" w:rsidRPr="003530E4" w:rsidRDefault="00BD63BB" w:rsidP="00BD63BB">
      <w:pPr>
        <w:spacing w:before="0" w:after="0" w:line="360" w:lineRule="auto"/>
        <w:jc w:val="right"/>
        <w:rPr>
          <w:bCs/>
          <w:i/>
        </w:rPr>
      </w:pPr>
      <w:bookmarkStart w:id="0" w:name="_GoBack"/>
      <w:bookmarkEnd w:id="0"/>
      <w:r w:rsidRPr="003530E4">
        <w:rPr>
          <w:bCs/>
          <w:i/>
        </w:rPr>
        <w:t>Приложение 1</w:t>
      </w:r>
    </w:p>
    <w:p w:rsidR="00BD63BB" w:rsidRPr="003530E4" w:rsidRDefault="00BD63BB" w:rsidP="00BD63BB">
      <w:pPr>
        <w:spacing w:before="0" w:after="0"/>
        <w:jc w:val="center"/>
        <w:rPr>
          <w:b/>
        </w:rPr>
      </w:pPr>
      <w:r w:rsidRPr="003530E4">
        <w:rPr>
          <w:b/>
        </w:rPr>
        <w:t>Форма</w:t>
      </w:r>
    </w:p>
    <w:p w:rsidR="00BD63BB" w:rsidRPr="003530E4" w:rsidRDefault="00BD63BB" w:rsidP="00BD63BB">
      <w:pPr>
        <w:spacing w:before="0" w:after="0"/>
        <w:jc w:val="center"/>
        <w:rPr>
          <w:b/>
        </w:rPr>
      </w:pPr>
      <w:r w:rsidRPr="003530E4">
        <w:rPr>
          <w:b/>
        </w:rPr>
        <w:t xml:space="preserve">мониторинга мероприятий по созданию центров выявления и поддержки одаренных детей (далее – ЦОД) в рамках федерального проекта «Успех каждого ребенка» национального проекта «Образование» по состоянию </w:t>
      </w:r>
      <w:r w:rsidRPr="003530E4">
        <w:rPr>
          <w:b/>
        </w:rPr>
        <w:br/>
        <w:t>на 30 ноября 2019 г.</w:t>
      </w:r>
    </w:p>
    <w:p w:rsidR="00BD63BB" w:rsidRPr="003530E4" w:rsidRDefault="00BD63BB" w:rsidP="00BD63BB">
      <w:pPr>
        <w:spacing w:before="0" w:after="0"/>
        <w:jc w:val="both"/>
      </w:pPr>
    </w:p>
    <w:p w:rsidR="00BD63BB" w:rsidRPr="003530E4" w:rsidRDefault="00BD63BB" w:rsidP="003530E4">
      <w:pPr>
        <w:pStyle w:val="22"/>
        <w:shd w:val="clear" w:color="auto" w:fill="auto"/>
        <w:spacing w:before="0"/>
        <w:ind w:right="8300"/>
        <w:rPr>
          <w:sz w:val="24"/>
          <w:szCs w:val="24"/>
        </w:rPr>
      </w:pPr>
      <w:r w:rsidRPr="003530E4">
        <w:rPr>
          <w:sz w:val="24"/>
          <w:szCs w:val="24"/>
        </w:rPr>
        <w:t>Субъект Российской Федерации</w:t>
      </w:r>
      <w:r w:rsidR="003530E4" w:rsidRPr="003530E4">
        <w:rPr>
          <w:sz w:val="24"/>
          <w:szCs w:val="24"/>
        </w:rPr>
        <w:t>:</w:t>
      </w:r>
      <w:r w:rsidR="00B1158D" w:rsidRPr="003530E4">
        <w:rPr>
          <w:sz w:val="24"/>
          <w:szCs w:val="24"/>
        </w:rPr>
        <w:t xml:space="preserve"> Воронежская область</w:t>
      </w:r>
      <w:r w:rsidR="003530E4">
        <w:rPr>
          <w:sz w:val="24"/>
          <w:szCs w:val="24"/>
        </w:rPr>
        <w:t>.</w:t>
      </w:r>
    </w:p>
    <w:p w:rsidR="00BD63BB" w:rsidRPr="003530E4" w:rsidRDefault="00BD63BB" w:rsidP="00B1158D">
      <w:pPr>
        <w:spacing w:before="0" w:after="0"/>
        <w:jc w:val="both"/>
      </w:pPr>
      <w:r w:rsidRPr="003530E4">
        <w:t>Наименование ЦОД</w:t>
      </w:r>
      <w:r w:rsidR="00B1158D" w:rsidRPr="003530E4">
        <w:t>: государственное автономное учреждение дополнительного образования Воронежской области «Региональный центр выявления, поддержки и развития способностей и талантов у детей и молодежи</w:t>
      </w:r>
      <w:r w:rsidR="000F708C">
        <w:t xml:space="preserve">  «Орион</w:t>
      </w:r>
      <w:r w:rsidR="00B1158D" w:rsidRPr="003530E4">
        <w:t>» (ГАУ ДО ВО «Региональный центр</w:t>
      </w:r>
      <w:r w:rsidR="000F708C">
        <w:t xml:space="preserve"> «Орион</w:t>
      </w:r>
      <w:r w:rsidR="00B1158D" w:rsidRPr="003530E4">
        <w:t>»)</w:t>
      </w:r>
      <w:r w:rsidR="003530E4">
        <w:t>.</w:t>
      </w:r>
    </w:p>
    <w:p w:rsidR="00BD63BB" w:rsidRPr="003530E4" w:rsidRDefault="00BD63BB" w:rsidP="00BD63BB">
      <w:pPr>
        <w:spacing w:before="0" w:after="0"/>
        <w:jc w:val="both"/>
      </w:pPr>
    </w:p>
    <w:p w:rsidR="00B1158D" w:rsidRPr="003530E4" w:rsidRDefault="00BD63BB" w:rsidP="00B1158D">
      <w:pPr>
        <w:numPr>
          <w:ilvl w:val="0"/>
          <w:numId w:val="1"/>
        </w:numPr>
        <w:spacing w:before="0" w:after="0"/>
        <w:jc w:val="both"/>
      </w:pPr>
      <w:r w:rsidRPr="003530E4">
        <w:t>Директор ЦОД</w:t>
      </w:r>
      <w:r w:rsidR="00B1158D" w:rsidRPr="003530E4">
        <w:t>: директор Наталия Николаевна Голева</w:t>
      </w:r>
      <w:r w:rsidR="003530E4" w:rsidRPr="003530E4">
        <w:t>.</w:t>
      </w:r>
    </w:p>
    <w:p w:rsidR="00B1158D" w:rsidRPr="003530E4" w:rsidRDefault="00BD63BB" w:rsidP="00B1158D">
      <w:pPr>
        <w:numPr>
          <w:ilvl w:val="0"/>
          <w:numId w:val="1"/>
        </w:numPr>
        <w:spacing w:before="0" w:after="0"/>
        <w:jc w:val="both"/>
      </w:pPr>
      <w:r w:rsidRPr="003530E4">
        <w:t>Контактные данные директора ЦОД (электронная почта, телефон)</w:t>
      </w:r>
      <w:r w:rsidR="00B1158D" w:rsidRPr="003530E4">
        <w:t xml:space="preserve">: 8(473)212-79-57, </w:t>
      </w:r>
      <w:hyperlink r:id="rId7" w:history="1">
        <w:r w:rsidR="00B1158D" w:rsidRPr="003530E4">
          <w:rPr>
            <w:rStyle w:val="aa"/>
          </w:rPr>
          <w:t>vrn.patriot@mail.ru</w:t>
        </w:r>
      </w:hyperlink>
      <w:r w:rsidR="00B1158D" w:rsidRPr="003530E4">
        <w:t>.</w:t>
      </w:r>
    </w:p>
    <w:p w:rsidR="00BD63BB" w:rsidRPr="003530E4" w:rsidRDefault="00BD63BB" w:rsidP="00B1158D">
      <w:pPr>
        <w:numPr>
          <w:ilvl w:val="0"/>
          <w:numId w:val="1"/>
        </w:numPr>
        <w:spacing w:before="0" w:after="0"/>
        <w:jc w:val="both"/>
      </w:pPr>
      <w:r w:rsidRPr="003530E4">
        <w:t>Наличие доступа к Интернету</w:t>
      </w:r>
      <w:r w:rsidR="00086D18" w:rsidRPr="003530E4">
        <w:t xml:space="preserve"> в ЦОД</w:t>
      </w:r>
      <w:r w:rsidRPr="003530E4">
        <w:t xml:space="preserve"> (скорость)</w:t>
      </w:r>
      <w:r w:rsidR="00B1158D" w:rsidRPr="003530E4">
        <w:t xml:space="preserve">: В основном здании - </w:t>
      </w:r>
      <w:r w:rsidR="00B1158D" w:rsidRPr="003530E4">
        <w:rPr>
          <w:rFonts w:eastAsiaTheme="minorHAnsi"/>
        </w:rPr>
        <w:t>скорость доступа к услуге связи на порту оборудования оператора связи, Кбит/с: интернет трафик 10240; локальный и Мультимедиа трафик 10240</w:t>
      </w:r>
      <w:r w:rsidR="00B1158D" w:rsidRPr="003530E4">
        <w:t xml:space="preserve">; ядро «Наука» - вопрос в стадии </w:t>
      </w:r>
      <w:r w:rsidR="00B3577D" w:rsidRPr="003530E4">
        <w:t>завершения подключения</w:t>
      </w:r>
      <w:r w:rsidR="00B1158D" w:rsidRPr="003530E4">
        <w:t>.</w:t>
      </w:r>
    </w:p>
    <w:p w:rsidR="00BD63BB" w:rsidRPr="003530E4" w:rsidRDefault="00BD63BB" w:rsidP="00086D18">
      <w:pPr>
        <w:numPr>
          <w:ilvl w:val="0"/>
          <w:numId w:val="1"/>
        </w:numPr>
        <w:spacing w:before="0" w:after="0"/>
        <w:ind w:left="0" w:firstLine="360"/>
        <w:jc w:val="both"/>
      </w:pPr>
      <w:r w:rsidRPr="003530E4">
        <w:t>Обеспечение соответствия требованиям Роспотребнадзора для организаций, в которых оказываются услуги по дополнительному образованию детей (СанПиН 2.4.4.3172-14)</w:t>
      </w:r>
      <w:r w:rsidR="00B1158D" w:rsidRPr="003530E4">
        <w:t xml:space="preserve">: </w:t>
      </w:r>
      <w:r w:rsidR="009E3E5F">
        <w:t xml:space="preserve">Помещения Центра «Кампуса» соответствуют требованиям, имеются соответствующие заключения. </w:t>
      </w:r>
      <w:r w:rsidR="00B1158D" w:rsidRPr="003530E4">
        <w:t>В настоящее время в помещениях Центра (ядро «Наука») заканчиваются</w:t>
      </w:r>
      <w:r w:rsidR="00B3577D" w:rsidRPr="003530E4">
        <w:t xml:space="preserve"> </w:t>
      </w:r>
      <w:r w:rsidR="00B1158D" w:rsidRPr="003530E4">
        <w:t>ремонтные работы в соответствии с установленными требованиями</w:t>
      </w:r>
      <w:r w:rsidR="00B3577D" w:rsidRPr="003530E4">
        <w:t xml:space="preserve">. </w:t>
      </w:r>
      <w:r w:rsidR="00B3577D" w:rsidRPr="000F708C">
        <w:t>Ввод помещений в эксплуатацию 30.11.2019 г.</w:t>
      </w:r>
    </w:p>
    <w:p w:rsidR="00BD63BB" w:rsidRPr="003530E4" w:rsidRDefault="00BD63BB" w:rsidP="00BD63BB">
      <w:pPr>
        <w:numPr>
          <w:ilvl w:val="0"/>
          <w:numId w:val="1"/>
        </w:numPr>
        <w:spacing w:before="0" w:after="0"/>
        <w:jc w:val="both"/>
      </w:pPr>
      <w:r w:rsidRPr="003530E4">
        <w:t>Лаборатории (введенные в эксплуатацию на 30.11.2019)</w:t>
      </w:r>
    </w:p>
    <w:p w:rsidR="00BD63BB" w:rsidRPr="003530E4" w:rsidRDefault="00BD63BB" w:rsidP="00BD63BB">
      <w:pPr>
        <w:spacing w:before="0" w:after="0"/>
        <w:ind w:left="708"/>
        <w:jc w:val="both"/>
      </w:pPr>
      <w:r w:rsidRPr="003530E4">
        <w:t>5.1. По направлению «Наука»</w:t>
      </w:r>
      <w:r w:rsidR="00B3577D" w:rsidRPr="003530E4">
        <w:t>: лаборатории химии, физики, биологии, информатики, математики (универсум им. А.П. Киселева), химико-биологическая лаборатория (универсум им. Н.И.</w:t>
      </w:r>
      <w:r w:rsidR="003530E4">
        <w:t xml:space="preserve"> </w:t>
      </w:r>
      <w:r w:rsidR="00B3577D" w:rsidRPr="003530E4">
        <w:t>Вавилова), лаборатории для формирования навыков безопасности жизнедеятельности, лаборатория «Географических открытий», краеведения (универсум им. Е.А. Болховитинова), проектная лаборатория, лаборатория дистанционного обучения, лаборатория виртуальной реальности, лаборатория базовой подготовки.</w:t>
      </w:r>
    </w:p>
    <w:p w:rsidR="00BD63BB" w:rsidRPr="003530E4" w:rsidRDefault="00BD63BB" w:rsidP="00BD63BB">
      <w:pPr>
        <w:spacing w:before="0" w:after="0"/>
        <w:ind w:left="708"/>
        <w:jc w:val="both"/>
      </w:pPr>
      <w:r w:rsidRPr="003530E4">
        <w:t>5.2. По направлению «Искусство»</w:t>
      </w:r>
      <w:r w:rsidR="00B3577D" w:rsidRPr="003530E4">
        <w:t xml:space="preserve">: </w:t>
      </w:r>
      <w:r w:rsidR="009E3E5F">
        <w:t>лаборатории по данному направлению расположены на территории «Кампуса» (АУ ВО «Пансионат с лечением «Репное»).</w:t>
      </w:r>
    </w:p>
    <w:p w:rsidR="00BD63BB" w:rsidRPr="003530E4" w:rsidRDefault="00BD63BB" w:rsidP="009E3E5F">
      <w:pPr>
        <w:spacing w:before="0" w:after="0"/>
        <w:ind w:left="708"/>
        <w:jc w:val="both"/>
      </w:pPr>
      <w:r w:rsidRPr="003530E4">
        <w:t>5.3. По направлению «Спорт»</w:t>
      </w:r>
      <w:r w:rsidR="00B3577D" w:rsidRPr="003530E4">
        <w:t xml:space="preserve">: </w:t>
      </w:r>
      <w:r w:rsidR="009E3E5F">
        <w:t xml:space="preserve">лаборатории по данному направлению расположены на территории «Кампуса» (АУ ВО «Пансионат с лечением «Репное»); на территории ядра «Наука» располагается </w:t>
      </w:r>
      <w:r w:rsidR="00B3577D" w:rsidRPr="003530E4">
        <w:t>шахматная зона.</w:t>
      </w:r>
    </w:p>
    <w:p w:rsidR="00BD63BB" w:rsidRPr="003530E4" w:rsidRDefault="00BD63BB" w:rsidP="00BD63BB">
      <w:pPr>
        <w:numPr>
          <w:ilvl w:val="0"/>
          <w:numId w:val="1"/>
        </w:numPr>
        <w:spacing w:before="0" w:after="0"/>
        <w:jc w:val="both"/>
      </w:pPr>
      <w:r w:rsidRPr="003530E4">
        <w:t>Образовательные программы (представить в pdf формате)</w:t>
      </w:r>
    </w:p>
    <w:p w:rsidR="00BD63BB" w:rsidRPr="009E3E5F" w:rsidRDefault="00BD63BB" w:rsidP="00BD63BB">
      <w:pPr>
        <w:spacing w:before="0" w:after="0"/>
        <w:ind w:firstLine="708"/>
        <w:jc w:val="both"/>
      </w:pPr>
      <w:r w:rsidRPr="003530E4">
        <w:t>6.1. Не представленные ранее, утвержденные образовательные программы по направлению «Наука» (дата, номер документа, сам документ приложить к мониторингу)</w:t>
      </w:r>
      <w:r w:rsidR="00B3577D" w:rsidRPr="003530E4">
        <w:t xml:space="preserve">: </w:t>
      </w:r>
      <w:r w:rsidR="009E3E5F">
        <w:t xml:space="preserve">дополнительные общеобразовательные общеразвивающие </w:t>
      </w:r>
      <w:r w:rsidR="00B3577D" w:rsidRPr="009E3E5F">
        <w:t>дистанционн</w:t>
      </w:r>
      <w:r w:rsidR="0097799E" w:rsidRPr="009E3E5F">
        <w:t>ые</w:t>
      </w:r>
      <w:r w:rsidR="00B3577D" w:rsidRPr="009E3E5F">
        <w:t xml:space="preserve"> программы</w:t>
      </w:r>
      <w:r w:rsidR="00B3577D" w:rsidRPr="003530E4">
        <w:t xml:space="preserve"> </w:t>
      </w:r>
      <w:r w:rsidR="009E3E5F">
        <w:t xml:space="preserve">«Числа и их история» (математика), «Олимпиадная подготовка по химии 9 класс», «Олимпиадная подготовка по химии 8 класс», «Идентификация органических веществ» (прилагается 4 программы в формате </w:t>
      </w:r>
      <w:r w:rsidR="009E3E5F">
        <w:rPr>
          <w:lang w:val="en-US"/>
        </w:rPr>
        <w:t>pdf</w:t>
      </w:r>
      <w:r w:rsidR="009E3E5F">
        <w:t>).</w:t>
      </w:r>
    </w:p>
    <w:p w:rsidR="00BD63BB" w:rsidRPr="003530E4" w:rsidRDefault="00BD63BB" w:rsidP="00BD63BB">
      <w:pPr>
        <w:spacing w:before="0" w:after="0"/>
        <w:ind w:firstLine="708"/>
        <w:jc w:val="both"/>
      </w:pPr>
      <w:r w:rsidRPr="003530E4">
        <w:lastRenderedPageBreak/>
        <w:t>6.2. Не представленные ранее, утвержденные образовательные программы по направлению «Искусство» (дата, номер документа, сам документ приложить к мониторингу)</w:t>
      </w:r>
      <w:r w:rsidR="00B3577D" w:rsidRPr="003530E4">
        <w:t xml:space="preserve">: </w:t>
      </w:r>
      <w:r w:rsidR="003530E4">
        <w:t xml:space="preserve">новые программы </w:t>
      </w:r>
      <w:r w:rsidR="00B3577D" w:rsidRPr="003530E4">
        <w:t>не разрабатывались.</w:t>
      </w:r>
    </w:p>
    <w:p w:rsidR="0018298C" w:rsidRPr="003530E4" w:rsidRDefault="00BD63BB" w:rsidP="0097799E">
      <w:pPr>
        <w:spacing w:before="0" w:after="0"/>
        <w:ind w:firstLine="708"/>
        <w:jc w:val="both"/>
      </w:pPr>
      <w:r w:rsidRPr="003530E4">
        <w:t>6.3. Не представленные ранее, утвержденные образовательные программы по направлению «Спорт» (дата, номер документа, сам документ приложить к мониторингу)</w:t>
      </w:r>
      <w:r w:rsidR="00B3577D" w:rsidRPr="003530E4">
        <w:t xml:space="preserve">: </w:t>
      </w:r>
      <w:r w:rsidR="003530E4">
        <w:t xml:space="preserve">новые программы </w:t>
      </w:r>
      <w:r w:rsidR="00B3577D" w:rsidRPr="003530E4">
        <w:t>не разрабатывались.</w:t>
      </w:r>
    </w:p>
    <w:p w:rsidR="0097799E" w:rsidRPr="009E3E5F" w:rsidRDefault="0018298C" w:rsidP="0097799E">
      <w:pPr>
        <w:numPr>
          <w:ilvl w:val="0"/>
          <w:numId w:val="1"/>
        </w:numPr>
        <w:spacing w:before="0" w:after="0"/>
        <w:ind w:left="0" w:firstLine="360"/>
        <w:jc w:val="both"/>
      </w:pPr>
      <w:r w:rsidRPr="003530E4">
        <w:t>Документ, утверждающий критерии отбора обучающихся и педагогических работников по направлениям образовательной деятельности ЦОД (представить в pdf формате)</w:t>
      </w:r>
      <w:r w:rsidR="00B3577D" w:rsidRPr="003530E4">
        <w:t xml:space="preserve">: протокол заседания Экспертного  совета ГАУ ДО ВО «Региональный </w:t>
      </w:r>
      <w:r w:rsidR="00B3577D" w:rsidRPr="009E3E5F">
        <w:t>центр» от 21.11.2019 г. №</w:t>
      </w:r>
      <w:r w:rsidR="009E3E5F" w:rsidRPr="009E3E5F">
        <w:t>6.</w:t>
      </w:r>
    </w:p>
    <w:p w:rsidR="00BD63BB" w:rsidRPr="003530E4" w:rsidRDefault="00BD63BB" w:rsidP="0097799E">
      <w:pPr>
        <w:numPr>
          <w:ilvl w:val="0"/>
          <w:numId w:val="1"/>
        </w:numPr>
        <w:spacing w:before="0" w:after="0"/>
        <w:ind w:left="0" w:firstLine="360"/>
        <w:jc w:val="both"/>
      </w:pPr>
      <w:r w:rsidRPr="003530E4">
        <w:t>Программы дополнительного образования детей, проводимые на регулярной (еженедельной) основе</w:t>
      </w:r>
      <w:r w:rsidR="0097799E" w:rsidRPr="003530E4">
        <w:t xml:space="preserve">: Открытие ядра «Наука», на территории которого будет осуществляться образовательная деятельность на регулярной (еженедельной) основе </w:t>
      </w:r>
      <w:r w:rsidR="003530E4">
        <w:t>состоится</w:t>
      </w:r>
      <w:r w:rsidR="0097799E" w:rsidRPr="003530E4">
        <w:t xml:space="preserve"> 12 декабря 2019 года. В настоящее время программы реализуются на базе «Кампуса» - АУ ВО «Пансионат с лечением «Репное».</w:t>
      </w:r>
    </w:p>
    <w:p w:rsidR="00BD63BB" w:rsidRPr="00655987" w:rsidRDefault="0097799E" w:rsidP="0097799E">
      <w:pPr>
        <w:ind w:firstLine="660"/>
        <w:jc w:val="both"/>
      </w:pPr>
      <w:r w:rsidRPr="00655987">
        <w:t>8</w:t>
      </w:r>
      <w:r w:rsidR="00BD63BB" w:rsidRPr="00655987">
        <w:t>.1. Общий объем программ дополнительного образования детей, проводимых на регулярной (еженедельной) основе (человеко-часов)</w:t>
      </w:r>
      <w:r w:rsidRPr="00655987">
        <w:t xml:space="preserve">: </w:t>
      </w:r>
      <w:r w:rsidR="00DF43CF" w:rsidRPr="00655987">
        <w:t>1</w:t>
      </w:r>
      <w:r w:rsidR="00655987" w:rsidRPr="00655987">
        <w:t>88</w:t>
      </w:r>
      <w:r w:rsidR="00DF43CF" w:rsidRPr="00655987">
        <w:t xml:space="preserve">476: из них </w:t>
      </w:r>
      <w:r w:rsidRPr="00655987">
        <w:t xml:space="preserve">90 576 (6 часов программа х 12 дней х 74 человека х 17 программ (в рамках профильных смен); «Шахматы» с 1 сентября 2019 года  </w:t>
      </w:r>
      <w:r w:rsidR="00DF43CF" w:rsidRPr="00655987">
        <w:t>42900</w:t>
      </w:r>
      <w:r w:rsidRPr="00655987">
        <w:t xml:space="preserve"> человеко-часов</w:t>
      </w:r>
      <w:r w:rsidR="00746FC0">
        <w:t xml:space="preserve"> </w:t>
      </w:r>
      <w:r w:rsidR="00655987" w:rsidRPr="00655987">
        <w:t>(</w:t>
      </w:r>
      <w:r w:rsidRPr="00655987">
        <w:t xml:space="preserve">6 часов х </w:t>
      </w:r>
      <w:r w:rsidR="00655987" w:rsidRPr="00655987">
        <w:t>11</w:t>
      </w:r>
      <w:r w:rsidRPr="00655987">
        <w:t xml:space="preserve"> недель х 650 человек</w:t>
      </w:r>
      <w:r w:rsidR="00655987" w:rsidRPr="00655987">
        <w:t xml:space="preserve">); 55000 человеко-часов программы с применением дистанционных технологий (2 </w:t>
      </w:r>
      <w:r w:rsidR="008D5388">
        <w:t>часа</w:t>
      </w:r>
      <w:r w:rsidR="00655987" w:rsidRPr="00655987">
        <w:t xml:space="preserve"> х 11 недель х </w:t>
      </w:r>
      <w:r w:rsidR="008D5388">
        <w:t>1250</w:t>
      </w:r>
      <w:r w:rsidR="00655987" w:rsidRPr="00655987">
        <w:t xml:space="preserve"> человек</w:t>
      </w:r>
      <w:r w:rsidR="008D5388">
        <w:t xml:space="preserve"> х 2 программы</w:t>
      </w:r>
      <w:r w:rsidR="00655987" w:rsidRPr="00655987">
        <w:t>)</w:t>
      </w:r>
      <w:r w:rsidRPr="00655987">
        <w:t>.</w:t>
      </w:r>
    </w:p>
    <w:p w:rsidR="00BD63BB" w:rsidRPr="003530E4" w:rsidRDefault="0097799E" w:rsidP="00BD63BB">
      <w:pPr>
        <w:spacing w:before="0" w:after="0"/>
        <w:ind w:firstLine="708"/>
        <w:jc w:val="both"/>
      </w:pPr>
      <w:r w:rsidRPr="003530E4">
        <w:t>8</w:t>
      </w:r>
      <w:r w:rsidR="00BD63BB" w:rsidRPr="003530E4">
        <w:t>.2. Количество реализованных программ дополнительного образования детей, проводимых на регулярной (еженедельной) основе</w:t>
      </w:r>
      <w:r w:rsidRPr="003530E4">
        <w:t>:</w:t>
      </w:r>
      <w:r w:rsidR="00912B99" w:rsidRPr="003530E4">
        <w:t xml:space="preserve"> </w:t>
      </w:r>
      <w:r w:rsidR="00655987">
        <w:t>20</w:t>
      </w:r>
      <w:r w:rsidR="00912B99" w:rsidRPr="003530E4">
        <w:t>.</w:t>
      </w:r>
    </w:p>
    <w:p w:rsidR="00BD63BB" w:rsidRPr="003530E4" w:rsidRDefault="0097799E" w:rsidP="00BD63BB">
      <w:pPr>
        <w:spacing w:before="0" w:after="0"/>
        <w:ind w:firstLine="708"/>
        <w:jc w:val="both"/>
      </w:pPr>
      <w:r w:rsidRPr="003530E4">
        <w:t>8</w:t>
      </w:r>
      <w:r w:rsidR="00BD63BB" w:rsidRPr="003530E4">
        <w:t>.3. Объем каждой реализованной программы дополнительного образования детей, проводимых на регулярной (еженедельной) основе</w:t>
      </w:r>
      <w:r w:rsidRPr="003530E4">
        <w:t>:</w:t>
      </w:r>
      <w:r w:rsidR="00912B99" w:rsidRPr="003530E4">
        <w:t xml:space="preserve"> Планируемый объем часов дополнительных общеразвивающих программ от 24 до 72 часов.</w:t>
      </w:r>
    </w:p>
    <w:p w:rsidR="00BD63BB" w:rsidRPr="003530E4" w:rsidRDefault="0097799E" w:rsidP="00912B99">
      <w:pPr>
        <w:ind w:firstLine="660"/>
        <w:jc w:val="both"/>
      </w:pPr>
      <w:r w:rsidRPr="000F708C">
        <w:t>8</w:t>
      </w:r>
      <w:r w:rsidR="00BD63BB" w:rsidRPr="000F708C">
        <w:t>.4. Количество обучающихся по каждой программе (возраст)</w:t>
      </w:r>
      <w:r w:rsidRPr="000F708C">
        <w:t>:</w:t>
      </w:r>
      <w:r w:rsidR="00912B99" w:rsidRPr="000F708C">
        <w:t xml:space="preserve"> По каждой программе </w:t>
      </w:r>
      <w:r w:rsidR="00746FC0" w:rsidRPr="00655987">
        <w:t>в рамках профильных смен</w:t>
      </w:r>
      <w:r w:rsidR="00746FC0" w:rsidRPr="000F708C">
        <w:t xml:space="preserve"> </w:t>
      </w:r>
      <w:r w:rsidR="00912B99" w:rsidRPr="000F708C">
        <w:t>прошло обучение 74 человека в возрасте 10-18 лет</w:t>
      </w:r>
      <w:r w:rsidR="00746FC0">
        <w:t xml:space="preserve">; по программе «Шахматы» - 650 детей в возрасте 10-16 лет; </w:t>
      </w:r>
      <w:r w:rsidR="00746FC0" w:rsidRPr="00CC3AF7">
        <w:t xml:space="preserve">«Техническая игрушка» - </w:t>
      </w:r>
      <w:r w:rsidR="00746FC0">
        <w:t>1250 человек в возрасте 10-16 лет</w:t>
      </w:r>
      <w:r w:rsidR="00746FC0" w:rsidRPr="00CC3AF7">
        <w:t xml:space="preserve">; «Практическая математика» - </w:t>
      </w:r>
      <w:r w:rsidR="00746FC0">
        <w:t>1250 человек в возрасте 10-16 лет.</w:t>
      </w:r>
      <w:r w:rsidR="00912B99" w:rsidRPr="000F708C">
        <w:t xml:space="preserve"> </w:t>
      </w:r>
    </w:p>
    <w:p w:rsidR="00BD63BB" w:rsidRPr="003530E4" w:rsidRDefault="00BD63BB" w:rsidP="00BD63BB">
      <w:pPr>
        <w:numPr>
          <w:ilvl w:val="0"/>
          <w:numId w:val="1"/>
        </w:numPr>
        <w:spacing w:before="0" w:after="0"/>
        <w:jc w:val="both"/>
      </w:pPr>
      <w:r w:rsidRPr="003530E4">
        <w:t>Профильные региональные смены</w:t>
      </w:r>
      <w:r w:rsidR="00912B99" w:rsidRPr="003530E4">
        <w:t>:</w:t>
      </w:r>
    </w:p>
    <w:p w:rsidR="00BD63BB" w:rsidRPr="003530E4" w:rsidRDefault="0097799E" w:rsidP="00912B99">
      <w:pPr>
        <w:ind w:firstLine="660"/>
        <w:jc w:val="both"/>
      </w:pPr>
      <w:r w:rsidRPr="003530E4">
        <w:t>9</w:t>
      </w:r>
      <w:r w:rsidR="00BD63BB" w:rsidRPr="003530E4">
        <w:t>.1. Общий объем проведенных профильных региональных смен (человеко-дней)</w:t>
      </w:r>
      <w:r w:rsidR="00912B99" w:rsidRPr="003530E4">
        <w:t>: 17 612 человеко-дней (14 дней х 74 человека х 17 смен).</w:t>
      </w:r>
    </w:p>
    <w:p w:rsidR="00BD63BB" w:rsidRPr="003530E4" w:rsidRDefault="0097799E" w:rsidP="00BD63BB">
      <w:pPr>
        <w:spacing w:before="0" w:after="0"/>
        <w:ind w:firstLine="708"/>
        <w:jc w:val="both"/>
      </w:pPr>
      <w:r w:rsidRPr="003530E4">
        <w:t>9</w:t>
      </w:r>
      <w:r w:rsidR="00BD63BB" w:rsidRPr="003530E4">
        <w:t>.2. Количество проведенных смен по состоянию на 30 ноября 2019 г. (ед.)</w:t>
      </w:r>
      <w:r w:rsidRPr="003530E4">
        <w:t>:</w:t>
      </w:r>
      <w:r w:rsidR="00912B99" w:rsidRPr="003530E4">
        <w:t xml:space="preserve"> 17 смен.</w:t>
      </w:r>
    </w:p>
    <w:p w:rsidR="00BD63BB" w:rsidRPr="003530E4" w:rsidRDefault="0097799E" w:rsidP="00BD63BB">
      <w:pPr>
        <w:spacing w:before="0" w:after="0"/>
        <w:ind w:firstLine="708"/>
        <w:jc w:val="both"/>
      </w:pPr>
      <w:r w:rsidRPr="003530E4">
        <w:t>9</w:t>
      </w:r>
      <w:r w:rsidR="00BD63BB" w:rsidRPr="003530E4">
        <w:t>.3. Продолжительность смены (день)</w:t>
      </w:r>
      <w:r w:rsidRPr="003530E4">
        <w:t>: 14 дней.</w:t>
      </w:r>
    </w:p>
    <w:p w:rsidR="00BD63BB" w:rsidRPr="003530E4" w:rsidRDefault="0097799E" w:rsidP="00BD63BB">
      <w:pPr>
        <w:spacing w:before="0" w:after="0"/>
        <w:ind w:firstLine="708"/>
        <w:jc w:val="both"/>
      </w:pPr>
      <w:r w:rsidRPr="003530E4">
        <w:t>9</w:t>
      </w:r>
      <w:r w:rsidR="00BD63BB" w:rsidRPr="003530E4">
        <w:t>.4. Количество обучающихся 1 смены (чел.)</w:t>
      </w:r>
      <w:r w:rsidRPr="003530E4">
        <w:t>: 74 человека.</w:t>
      </w:r>
    </w:p>
    <w:p w:rsidR="00BD63BB" w:rsidRPr="003530E4" w:rsidRDefault="00BD63BB" w:rsidP="00BD63BB">
      <w:pPr>
        <w:numPr>
          <w:ilvl w:val="0"/>
          <w:numId w:val="1"/>
        </w:numPr>
        <w:spacing w:before="0" w:after="0"/>
        <w:jc w:val="both"/>
      </w:pPr>
      <w:r w:rsidRPr="003530E4">
        <w:t>Численность детей, обучающихся в 5-11 классах</w:t>
      </w:r>
      <w:r w:rsidR="00912B99" w:rsidRPr="003530E4">
        <w:t>: 120 тыс. чел.</w:t>
      </w:r>
    </w:p>
    <w:p w:rsidR="00912B99" w:rsidRPr="003530E4" w:rsidRDefault="00BD63BB" w:rsidP="00912B99">
      <w:pPr>
        <w:numPr>
          <w:ilvl w:val="0"/>
          <w:numId w:val="1"/>
        </w:numPr>
        <w:spacing w:before="0" w:after="0"/>
        <w:ind w:left="0" w:firstLine="360"/>
        <w:jc w:val="both"/>
      </w:pPr>
      <w:r w:rsidRPr="003530E4">
        <w:t>Численность и доля детей, обучающихся в 5-11 классах, вовлеченных в мероприятия (региональные олимпиады и конкурсы, мероприятия ЦОД) по выявлению и сопровождению одаренных детей</w:t>
      </w:r>
      <w:r w:rsidR="0018298C" w:rsidRPr="003530E4">
        <w:t>)</w:t>
      </w:r>
      <w:r w:rsidRPr="003530E4">
        <w:t xml:space="preserve"> </w:t>
      </w:r>
      <w:r w:rsidR="0018298C" w:rsidRPr="003530E4">
        <w:t>(</w:t>
      </w:r>
      <w:r w:rsidRPr="003530E4">
        <w:t>ед. / %)</w:t>
      </w:r>
      <w:r w:rsidR="00912B99" w:rsidRPr="003530E4">
        <w:t xml:space="preserve">: </w:t>
      </w:r>
      <w:r w:rsidR="00746FC0">
        <w:t>12000 человек/</w:t>
      </w:r>
      <w:r w:rsidR="00746FC0" w:rsidRPr="003530E4">
        <w:t>10 %.</w:t>
      </w:r>
    </w:p>
    <w:p w:rsidR="00EC6072" w:rsidRPr="00CC3AF7" w:rsidRDefault="00BD63BB" w:rsidP="00CC3AF7">
      <w:pPr>
        <w:numPr>
          <w:ilvl w:val="0"/>
          <w:numId w:val="1"/>
        </w:numPr>
        <w:spacing w:before="0" w:after="0"/>
        <w:ind w:left="0" w:firstLine="360"/>
        <w:jc w:val="both"/>
      </w:pPr>
      <w:r w:rsidRPr="003530E4">
        <w:t xml:space="preserve">Количество реализуемых ЦОД программ с применением дистанционных технологий (количество </w:t>
      </w:r>
      <w:r w:rsidRPr="00CC3AF7">
        <w:t>дней/часов)</w:t>
      </w:r>
      <w:r w:rsidR="00912B99" w:rsidRPr="00CC3AF7">
        <w:t xml:space="preserve">: </w:t>
      </w:r>
      <w:r w:rsidR="00050CE3">
        <w:t>2</w:t>
      </w:r>
      <w:r w:rsidR="00CC3AF7" w:rsidRPr="00CC3AF7">
        <w:t xml:space="preserve"> программ</w:t>
      </w:r>
      <w:r w:rsidR="00050CE3">
        <w:t>ы</w:t>
      </w:r>
      <w:r w:rsidR="00CC3AF7" w:rsidRPr="00CC3AF7">
        <w:t xml:space="preserve">: </w:t>
      </w:r>
      <w:r w:rsidR="00912B99" w:rsidRPr="00CC3AF7">
        <w:t xml:space="preserve">«Техническая игрушка» - 72 часа; «Практическая </w:t>
      </w:r>
      <w:r w:rsidR="00050CE3">
        <w:t>математика» - 144 часа.</w:t>
      </w:r>
    </w:p>
    <w:p w:rsidR="00BD63BB" w:rsidRPr="000F708C" w:rsidRDefault="00BD63BB" w:rsidP="00CC3AF7">
      <w:pPr>
        <w:numPr>
          <w:ilvl w:val="0"/>
          <w:numId w:val="1"/>
        </w:numPr>
        <w:spacing w:before="0" w:after="0"/>
        <w:ind w:left="0" w:firstLine="360"/>
        <w:jc w:val="both"/>
      </w:pPr>
      <w:r w:rsidRPr="000F708C">
        <w:lastRenderedPageBreak/>
        <w:t>Численность детей, участвующих в программах с применением дистанционных технологий ЦОД</w:t>
      </w:r>
      <w:r w:rsidR="000F708C">
        <w:t>: 2</w:t>
      </w:r>
      <w:r w:rsidR="00050CE3">
        <w:t>5</w:t>
      </w:r>
      <w:r w:rsidR="000F708C">
        <w:t>00.</w:t>
      </w:r>
    </w:p>
    <w:p w:rsidR="00AE0CE2" w:rsidRPr="000F708C" w:rsidRDefault="00BD63BB" w:rsidP="00AE0CE2">
      <w:pPr>
        <w:numPr>
          <w:ilvl w:val="0"/>
          <w:numId w:val="1"/>
        </w:numPr>
        <w:spacing w:before="0" w:after="0"/>
        <w:ind w:left="0" w:firstLine="360"/>
        <w:jc w:val="both"/>
      </w:pPr>
      <w:r w:rsidRPr="000F708C">
        <w:t>Число детей, включенных в Государственный информационный ресурс о детях, проявивших выдающиеся способности</w:t>
      </w:r>
      <w:r w:rsidR="00912B99" w:rsidRPr="000F708C">
        <w:t>: 1</w:t>
      </w:r>
      <w:r w:rsidR="00CC3AF7" w:rsidRPr="000F708C">
        <w:t>182</w:t>
      </w:r>
      <w:r w:rsidR="00912B99" w:rsidRPr="000F708C">
        <w:t>.</w:t>
      </w:r>
    </w:p>
    <w:p w:rsidR="00907B6F" w:rsidRPr="000F708C" w:rsidRDefault="00050CE3" w:rsidP="00AE0CE2">
      <w:pPr>
        <w:numPr>
          <w:ilvl w:val="0"/>
          <w:numId w:val="1"/>
        </w:numPr>
        <w:spacing w:before="0" w:after="0"/>
        <w:ind w:left="0" w:firstLine="360"/>
        <w:jc w:val="both"/>
      </w:pPr>
      <w:r>
        <w:t>В регионе сформирована база одаренных детей Воронежской области, куда вошли 7400 детей.</w:t>
      </w:r>
      <w:r w:rsidR="00912B99" w:rsidRPr="000F708C">
        <w:t xml:space="preserve"> </w:t>
      </w:r>
      <w:r w:rsidR="00AE0CE2" w:rsidRPr="000F708C">
        <w:t>В</w:t>
      </w:r>
      <w:r w:rsidR="00912B99" w:rsidRPr="000F708C">
        <w:t xml:space="preserve"> настоящее время </w:t>
      </w:r>
      <w:r w:rsidR="00CC3AF7" w:rsidRPr="000F708C">
        <w:t xml:space="preserve">ведется </w:t>
      </w:r>
      <w:r w:rsidR="00912B99" w:rsidRPr="000F708C">
        <w:t>разработка Регионального информационного ресурса о детях</w:t>
      </w:r>
      <w:r>
        <w:t xml:space="preserve">, который будет интегрирован </w:t>
      </w:r>
      <w:r w:rsidR="00912B99" w:rsidRPr="000F708C">
        <w:t>в официальный сайт ГАУ ДО ВО «Региональный центр</w:t>
      </w:r>
      <w:r>
        <w:t xml:space="preserve"> «Орион</w:t>
      </w:r>
      <w:r w:rsidR="00912B99" w:rsidRPr="000F708C">
        <w:t xml:space="preserve">». </w:t>
      </w:r>
      <w:r w:rsidR="00C73B82" w:rsidRPr="000F708C">
        <w:t>Н</w:t>
      </w:r>
      <w:r w:rsidR="00C73B82" w:rsidRPr="000F708C">
        <w:rPr>
          <w:shd w:val="clear" w:color="auto" w:fill="FFFFFF" w:themeFill="background1"/>
        </w:rPr>
        <w:t xml:space="preserve">а данном этапе </w:t>
      </w:r>
      <w:r w:rsidR="00AE0CE2" w:rsidRPr="000F708C">
        <w:rPr>
          <w:shd w:val="clear" w:color="auto" w:fill="FFFFFF" w:themeFill="background1"/>
        </w:rPr>
        <w:t>заполняется</w:t>
      </w:r>
      <w:r w:rsidR="00C73B82" w:rsidRPr="000F708C">
        <w:rPr>
          <w:shd w:val="clear" w:color="auto" w:fill="FFFFFF" w:themeFill="background1"/>
        </w:rPr>
        <w:t xml:space="preserve"> региональный</w:t>
      </w:r>
      <w:r w:rsidR="00C73B82" w:rsidRPr="000F708C">
        <w:t xml:space="preserve"> реестр одаренных детей в информационной системе «Ресурс об одаренных детях» </w:t>
      </w:r>
      <w:r w:rsidR="00C73B82" w:rsidRPr="000F708C">
        <w:rPr>
          <w:lang w:eastAsia="ar-SA"/>
        </w:rPr>
        <w:t>Образовательного Фонда «Талант и успех»</w:t>
      </w:r>
      <w:r>
        <w:rPr>
          <w:lang w:eastAsia="ar-SA"/>
        </w:rPr>
        <w:t>.</w:t>
      </w:r>
    </w:p>
    <w:p w:rsidR="00907B6F" w:rsidRPr="000F708C" w:rsidRDefault="00BD63BB" w:rsidP="00907B6F">
      <w:pPr>
        <w:numPr>
          <w:ilvl w:val="0"/>
          <w:numId w:val="1"/>
        </w:numPr>
        <w:spacing w:before="0" w:after="0"/>
        <w:ind w:left="0" w:firstLine="360"/>
        <w:jc w:val="both"/>
      </w:pPr>
      <w:r w:rsidRPr="000F708C">
        <w:t>Количество педагогов ЦОД, принявших участие в организации образовательных программ или прошедших обучение (повышение квалификации, стажировку) по программам и методикам работы с одаренными детьми на площадке Образова</w:t>
      </w:r>
      <w:r w:rsidR="00907B6F" w:rsidRPr="000F708C">
        <w:t>тельного Центра «Сириус» (чел.): 12 чел. Программы повышения квалификации на базе Образовательного Центра «Сириус» проходят обучение и привлеченные специалисты, реализующие образовательные программы на базе АУ ВО «Пансионат с лечением «Репное» - 3 чел.</w:t>
      </w:r>
      <w:r w:rsidR="00C73B82" w:rsidRPr="000F708C">
        <w:t xml:space="preserve"> Всего:15 чел</w:t>
      </w:r>
      <w:r w:rsidR="00050CE3">
        <w:t>овек/50 %</w:t>
      </w:r>
      <w:r w:rsidR="00C73B82" w:rsidRPr="000F708C">
        <w:t>.</w:t>
      </w:r>
    </w:p>
    <w:p w:rsidR="00BD63BB" w:rsidRPr="000F708C" w:rsidRDefault="00BD63BB" w:rsidP="00086D18">
      <w:pPr>
        <w:numPr>
          <w:ilvl w:val="0"/>
          <w:numId w:val="1"/>
        </w:numPr>
        <w:spacing w:before="0" w:after="0"/>
        <w:ind w:left="0" w:firstLine="360"/>
        <w:jc w:val="both"/>
      </w:pPr>
      <w:r w:rsidRPr="000F708C">
        <w:t>Реализация сетевой формы дополнительных образовательных программ</w:t>
      </w:r>
    </w:p>
    <w:tbl>
      <w:tblPr>
        <w:tblW w:w="1441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9"/>
        <w:gridCol w:w="7210"/>
      </w:tblGrid>
      <w:tr w:rsidR="00907B6F" w:rsidRPr="003530E4" w:rsidTr="00907B6F"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AE0CE2" w:rsidRDefault="00907B6F" w:rsidP="00C7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  <w:r w:rsidRPr="00AE0CE2">
              <w:t>Партнер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</w:pPr>
            <w:r w:rsidRPr="00AE0CE2">
              <w:t>Наличие соглашения</w:t>
            </w:r>
          </w:p>
        </w:tc>
      </w:tr>
      <w:tr w:rsidR="00907B6F" w:rsidRPr="003530E4" w:rsidTr="00907B6F"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  <w:r w:rsidRPr="003530E4">
              <w:t>НПО Энергомаш имени академика В.П. Глушко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  <w:r w:rsidRPr="003530E4">
              <w:t>Соглашение о сотрудничестве между департаментом образования, науки и молодежной политики Воронежской области от 29 мая 2019 года</w:t>
            </w:r>
          </w:p>
        </w:tc>
      </w:tr>
      <w:tr w:rsidR="00907B6F" w:rsidRPr="003530E4" w:rsidTr="00907B6F"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  <w:r w:rsidRPr="003530E4">
              <w:t>Областной краеведческий музей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  <w:r w:rsidRPr="003530E4">
              <w:t>Соглашение о сотрудничестве от 5 августа 2019 года</w:t>
            </w:r>
          </w:p>
        </w:tc>
      </w:tr>
      <w:tr w:rsidR="00907B6F" w:rsidRPr="003530E4" w:rsidTr="00907B6F"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  <w:r w:rsidRPr="003530E4">
              <w:t>Музей-усадьба им. Д.В.Веневитинова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  <w:r w:rsidRPr="003530E4">
              <w:t>Соглашение о сотрудничестве от 15 августа 2019 года</w:t>
            </w:r>
          </w:p>
        </w:tc>
      </w:tr>
      <w:tr w:rsidR="00907B6F" w:rsidRPr="003530E4" w:rsidTr="00907B6F"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  <w:r w:rsidRPr="003530E4">
      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  <w:r w:rsidRPr="003530E4">
              <w:t>Договор о сотрудничестве от 6 марта 2019 года</w:t>
            </w:r>
          </w:p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</w:p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</w:p>
        </w:tc>
      </w:tr>
      <w:tr w:rsidR="00907B6F" w:rsidRPr="003530E4" w:rsidTr="00907B6F"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  <w:r w:rsidRPr="003530E4"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 (ВГТУ)»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  <w:r w:rsidRPr="003530E4">
              <w:t>Соглашение о сотрудничестве от 01 августа 2019 года</w:t>
            </w:r>
          </w:p>
        </w:tc>
      </w:tr>
      <w:tr w:rsidR="00907B6F" w:rsidRPr="003530E4" w:rsidTr="00907B6F"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  <w:r w:rsidRPr="003530E4">
              <w:t>Федеральное государственное бюджетное образовательное учреждение высшего образования «Воронежский государственный лесотехнический университет имени Г. Ф. Морозова»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  <w:r w:rsidRPr="003530E4">
              <w:t>Соглашение о сотрудничестве от 26 марта 2018 года</w:t>
            </w:r>
          </w:p>
        </w:tc>
      </w:tr>
      <w:tr w:rsidR="00907B6F" w:rsidRPr="003530E4" w:rsidTr="00907B6F"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  <w:r w:rsidRPr="003530E4">
              <w:t xml:space="preserve">Федеральное государственное бюджетное образовательное </w:t>
            </w:r>
            <w:r w:rsidRPr="003530E4">
              <w:lastRenderedPageBreak/>
              <w:t>учреждение высшего образования «Воронежский государственный университет инженерных технологий»  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  <w:r w:rsidRPr="003530E4">
              <w:lastRenderedPageBreak/>
              <w:t>Соглашение о сотрудничестве и взаимод</w:t>
            </w:r>
            <w:r w:rsidR="00063DF3" w:rsidRPr="003530E4">
              <w:t xml:space="preserve">ействии от 28 октября </w:t>
            </w:r>
            <w:r w:rsidR="00063DF3" w:rsidRPr="003530E4">
              <w:lastRenderedPageBreak/>
              <w:t>2019 года</w:t>
            </w:r>
          </w:p>
        </w:tc>
      </w:tr>
      <w:tr w:rsidR="00907B6F" w:rsidRPr="003530E4" w:rsidTr="00907B6F"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  <w:r w:rsidRPr="003530E4">
              <w:lastRenderedPageBreak/>
              <w:t xml:space="preserve">Федеральное государственное бюджетное образовательное учреждение высшего образования «Воронежский государственный технический университет» Воронежский Строительно-политехнический колледж 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  <w:r w:rsidRPr="003530E4">
              <w:t>Соглашение о сотрудничестве и взаимодействии от 3 октября 2019 года</w:t>
            </w:r>
          </w:p>
        </w:tc>
      </w:tr>
      <w:tr w:rsidR="00907B6F" w:rsidRPr="003530E4" w:rsidTr="00907B6F"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  <w:r w:rsidRPr="003530E4">
              <w:t xml:space="preserve">Федеральное государственное бюджетное образовательное учреждение высшего образования «Воронежский государственный университет» 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B6F" w:rsidRPr="003530E4" w:rsidRDefault="00907B6F" w:rsidP="0090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57"/>
              <w:jc w:val="center"/>
            </w:pPr>
            <w:r w:rsidRPr="003530E4">
              <w:t>Договор о сотрудничестве от 17 января 2019 года</w:t>
            </w:r>
          </w:p>
        </w:tc>
      </w:tr>
    </w:tbl>
    <w:p w:rsidR="00063DF3" w:rsidRPr="003530E4" w:rsidRDefault="00063DF3" w:rsidP="00063DF3">
      <w:pPr>
        <w:jc w:val="both"/>
      </w:pPr>
    </w:p>
    <w:p w:rsidR="00063DF3" w:rsidRPr="003530E4" w:rsidRDefault="00BD63BB" w:rsidP="00063DF3">
      <w:pPr>
        <w:pStyle w:val="a3"/>
        <w:numPr>
          <w:ilvl w:val="0"/>
          <w:numId w:val="1"/>
        </w:numPr>
        <w:jc w:val="both"/>
      </w:pPr>
      <w:r w:rsidRPr="003530E4">
        <w:t>Соглашения с вузами и ключевыми научными центрами (с кем заключено, дата, номер нормативного документа)</w:t>
      </w:r>
      <w:r w:rsidR="00063DF3" w:rsidRPr="003530E4">
        <w:t xml:space="preserve">: </w:t>
      </w:r>
      <w:r w:rsidR="00063DF3" w:rsidRPr="003530E4">
        <w:rPr>
          <w:shd w:val="clear" w:color="auto" w:fill="FFFFFF"/>
        </w:rPr>
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 (</w:t>
      </w:r>
      <w:r w:rsidR="00063DF3" w:rsidRPr="003530E4">
        <w:t>договор о сотрудничестве, 6 марта 2019 г.)</w:t>
      </w:r>
      <w:r w:rsidR="00063DF3" w:rsidRPr="003530E4">
        <w:rPr>
          <w:shd w:val="clear" w:color="auto" w:fill="FFFFFF"/>
        </w:rPr>
        <w:t>, Федеральное государственное бюджетное образовательное учреждение высшего образования</w:t>
      </w:r>
      <w:r w:rsidR="00063DF3" w:rsidRPr="003530E4">
        <w:rPr>
          <w:bCs/>
          <w:color w:val="222222"/>
          <w:shd w:val="clear" w:color="auto" w:fill="FFFFFF"/>
        </w:rPr>
        <w:t xml:space="preserve"> </w:t>
      </w:r>
      <w:r w:rsidR="00063DF3" w:rsidRPr="003530E4">
        <w:rPr>
          <w:bCs/>
          <w:shd w:val="clear" w:color="auto" w:fill="FFFFFF"/>
        </w:rPr>
        <w:t>«Воронежский государственный технический университет</w:t>
      </w:r>
      <w:r w:rsidR="00063DF3" w:rsidRPr="003530E4">
        <w:rPr>
          <w:shd w:val="clear" w:color="auto" w:fill="FFFFFF"/>
        </w:rPr>
        <w:t> (</w:t>
      </w:r>
      <w:r w:rsidR="00063DF3" w:rsidRPr="003530E4">
        <w:rPr>
          <w:bCs/>
          <w:shd w:val="clear" w:color="auto" w:fill="FFFFFF"/>
        </w:rPr>
        <w:t>ВГТУ</w:t>
      </w:r>
      <w:r w:rsidR="00063DF3" w:rsidRPr="003530E4">
        <w:rPr>
          <w:shd w:val="clear" w:color="auto" w:fill="FFFFFF"/>
        </w:rPr>
        <w:t xml:space="preserve">)» (1 августа 2019 г., </w:t>
      </w:r>
      <w:r w:rsidR="00063DF3" w:rsidRPr="003530E4">
        <w:t>соглашение о сотрудничестве</w:t>
      </w:r>
      <w:r w:rsidR="00063DF3" w:rsidRPr="003530E4">
        <w:rPr>
          <w:shd w:val="clear" w:color="auto" w:fill="FFFFFF"/>
        </w:rPr>
        <w:t>), Федеральное государственное бюджетное образовательное учреждение высшего образования</w:t>
      </w:r>
      <w:r w:rsidR="00063DF3" w:rsidRPr="003530E4">
        <w:rPr>
          <w:bCs/>
          <w:shd w:val="clear" w:color="auto" w:fill="FFFFFF"/>
        </w:rPr>
        <w:t xml:space="preserve"> «</w:t>
      </w:r>
      <w:r w:rsidR="00063DF3" w:rsidRPr="003530E4">
        <w:rPr>
          <w:shd w:val="clear" w:color="auto" w:fill="FFFFFF"/>
        </w:rPr>
        <w:t>Воронежский государственный лесотехнический университет имени Г. Ф. Морозова» (соглашение о сотрудничестве, 26 марта 2018 год), Федеральное государственное бюджетное образовательное учреждение высшего образования</w:t>
      </w:r>
      <w:r w:rsidR="00063DF3" w:rsidRPr="003530E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63DF3" w:rsidRPr="003530E4">
        <w:t>«Воронежский государственный университет инженерных технологий»  (28 октября 2019 г., соглашение о сотрудничестве и взаимодействии), Федеральное государственное бюджетное образовательное учреждение высшего образования «Воронежский государственный технический университет» (Воронежский Строительно-политехнический колледж) (3 октября 2019 г., соглашение о сотрудничестве и взаимодействии), Федеральное государственное бюджетное образовательное учреждение высшего образования «Воронежский государственный университет» (договор о сотрудничестве, 17 января 2019 г.).</w:t>
      </w:r>
    </w:p>
    <w:p w:rsidR="00063DF3" w:rsidRPr="003530E4" w:rsidRDefault="00BD63BB" w:rsidP="00063DF3">
      <w:pPr>
        <w:pStyle w:val="a3"/>
        <w:numPr>
          <w:ilvl w:val="0"/>
          <w:numId w:val="1"/>
        </w:numPr>
        <w:jc w:val="both"/>
      </w:pPr>
      <w:r w:rsidRPr="003530E4">
        <w:t xml:space="preserve">Соглашения с ключевыми предприятиями (с кем заключено, дата, номер </w:t>
      </w:r>
      <w:r w:rsidR="00063DF3" w:rsidRPr="003530E4">
        <w:t xml:space="preserve">нормативного документа): Соглашение о сотрудничестве и взаимодействии с НПО Энергомаш имени академика В.П. Глушко от 29 мая 2019 года, ОАО «Конструкторское бюро химавтоматики» от 03 октября 2019 года. </w:t>
      </w:r>
    </w:p>
    <w:p w:rsidR="00063DF3" w:rsidRPr="003530E4" w:rsidRDefault="00BD63BB" w:rsidP="00063DF3">
      <w:pPr>
        <w:pStyle w:val="a3"/>
        <w:numPr>
          <w:ilvl w:val="0"/>
          <w:numId w:val="1"/>
        </w:numPr>
        <w:jc w:val="both"/>
      </w:pPr>
      <w:r w:rsidRPr="003530E4">
        <w:t>Соглашения с ключевыми культурными центрами (с кем заключено, дата, номер нормативного документа)</w:t>
      </w:r>
      <w:r w:rsidR="00063DF3" w:rsidRPr="003530E4">
        <w:t>: Соглашение о сотрудничестве с Областным краеведческим музеем (5 августа 2019 г.), соглашение о сотрудничестве с музеем-усадьбой им. Д.В.Веневитинова (15 августа 2019 г.).</w:t>
      </w:r>
    </w:p>
    <w:p w:rsidR="00063DF3" w:rsidRPr="003530E4" w:rsidRDefault="00BD63BB" w:rsidP="00063DF3">
      <w:pPr>
        <w:pStyle w:val="a3"/>
        <w:numPr>
          <w:ilvl w:val="0"/>
          <w:numId w:val="1"/>
        </w:numPr>
        <w:jc w:val="both"/>
      </w:pPr>
      <w:r w:rsidRPr="003530E4">
        <w:t>Организация взаимодействия с региональными органами государственной власти, осуществляющими государственное управление в сфере культуры, искусства, спорта, физической культуры</w:t>
      </w:r>
      <w:r w:rsidR="00063DF3" w:rsidRPr="003530E4">
        <w:t xml:space="preserve">: Специалисты департамента физической культуры и спорта Воронежской </w:t>
      </w:r>
      <w:r w:rsidR="00063DF3" w:rsidRPr="003530E4">
        <w:lastRenderedPageBreak/>
        <w:t>области, департамента культуры Воронежской области входят в состав Попечительского совета при правительстве Воронежской области по поддержке и развитию способностей и талантов у детей и молодежи Воронежской области, в состав Экспертного совета ГАУ ДО ВО «Региональный центр». Кроме того, специалисты ведомств привлекаются в качестве экспертов, жюри, судей при проведении тематических мероприятий для обучающихся. Заключены соглашения о взаимодействии и сотрудничестве между учреждениями, подведомственными департаменту физической культуры и спорта Воронежской области (Автономное учреждение Воронежской области «Центр спортивной подготовки сборных команд», АУ ВО «Центр развития физической культуры и спорта»), департаменту культуры Воронежской области (ГБ ПОУ «Воронежское хореографическое училище», ГБ ПОУ «Воронежское художественное училище»).</w:t>
      </w:r>
    </w:p>
    <w:p w:rsidR="00BD63BB" w:rsidRPr="003530E4" w:rsidRDefault="00BD63BB" w:rsidP="00063DF3">
      <w:pPr>
        <w:pStyle w:val="a3"/>
        <w:numPr>
          <w:ilvl w:val="0"/>
          <w:numId w:val="1"/>
        </w:numPr>
        <w:jc w:val="both"/>
      </w:pPr>
      <w:r w:rsidRPr="003530E4">
        <w:t>Наставничество (от организаций региона)</w:t>
      </w:r>
      <w:r w:rsidR="00063DF3" w:rsidRPr="003530E4">
        <w:t xml:space="preserve">: </w:t>
      </w:r>
    </w:p>
    <w:tbl>
      <w:tblPr>
        <w:tblW w:w="1441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9"/>
        <w:gridCol w:w="7210"/>
      </w:tblGrid>
      <w:tr w:rsidR="00BD63BB" w:rsidRPr="003530E4" w:rsidTr="00BD63BB">
        <w:tc>
          <w:tcPr>
            <w:tcW w:w="7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C8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</w:pPr>
            <w:r w:rsidRPr="003530E4">
              <w:t>Партнер</w:t>
            </w:r>
          </w:p>
        </w:tc>
        <w:tc>
          <w:tcPr>
            <w:tcW w:w="7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C8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</w:pPr>
            <w:r w:rsidRPr="003530E4">
              <w:t>Наличие соглашения</w:t>
            </w:r>
          </w:p>
        </w:tc>
      </w:tr>
      <w:tr w:rsidR="00063DF3" w:rsidRPr="003530E4" w:rsidTr="00BD63BB">
        <w:tc>
          <w:tcPr>
            <w:tcW w:w="7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DF3" w:rsidRPr="003530E4" w:rsidRDefault="00063DF3" w:rsidP="00063DF3">
            <w:pPr>
              <w:jc w:val="center"/>
            </w:pPr>
            <w:r w:rsidRPr="003530E4">
              <w:t>ОАО «Конструкторское бюро химавтоматики»</w:t>
            </w:r>
          </w:p>
        </w:tc>
        <w:tc>
          <w:tcPr>
            <w:tcW w:w="7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DF3" w:rsidRPr="003530E4" w:rsidRDefault="00063DF3" w:rsidP="00063DF3">
            <w:pPr>
              <w:jc w:val="center"/>
            </w:pPr>
            <w:r w:rsidRPr="003530E4">
              <w:t>да</w:t>
            </w:r>
          </w:p>
        </w:tc>
      </w:tr>
      <w:tr w:rsidR="00063DF3" w:rsidRPr="003530E4" w:rsidTr="00BD63BB">
        <w:tc>
          <w:tcPr>
            <w:tcW w:w="7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DF3" w:rsidRPr="003530E4" w:rsidRDefault="00063DF3" w:rsidP="00063DF3">
            <w:pPr>
              <w:jc w:val="center"/>
            </w:pPr>
            <w:r w:rsidRPr="003530E4">
              <w:t xml:space="preserve">НПО Энергомаш имени академика В.П. Глушко </w:t>
            </w:r>
          </w:p>
        </w:tc>
        <w:tc>
          <w:tcPr>
            <w:tcW w:w="7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DF3" w:rsidRPr="003530E4" w:rsidRDefault="00063DF3" w:rsidP="00063DF3">
            <w:pPr>
              <w:jc w:val="center"/>
            </w:pPr>
            <w:r w:rsidRPr="003530E4">
              <w:t>да</w:t>
            </w:r>
          </w:p>
        </w:tc>
      </w:tr>
    </w:tbl>
    <w:p w:rsidR="00BD63BB" w:rsidRPr="003530E4" w:rsidRDefault="00BD63BB" w:rsidP="00086D18">
      <w:pPr>
        <w:numPr>
          <w:ilvl w:val="0"/>
          <w:numId w:val="1"/>
        </w:numPr>
        <w:spacing w:before="0" w:after="0"/>
        <w:ind w:left="0" w:firstLine="360"/>
        <w:jc w:val="both"/>
      </w:pPr>
      <w:r w:rsidRPr="003530E4">
        <w:t>Медиаплан информационных поводов ЦОД</w:t>
      </w:r>
    </w:p>
    <w:tbl>
      <w:tblPr>
        <w:tblW w:w="1441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7"/>
        <w:gridCol w:w="4806"/>
        <w:gridCol w:w="4806"/>
      </w:tblGrid>
      <w:tr w:rsidR="00BD63BB" w:rsidRPr="003530E4" w:rsidTr="00BD63BB">
        <w:tc>
          <w:tcPr>
            <w:tcW w:w="4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086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>Информационный повод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086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>Дата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086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>Приглашенные СМИ</w:t>
            </w:r>
          </w:p>
        </w:tc>
      </w:tr>
      <w:tr w:rsidR="00F71010" w:rsidRPr="003530E4" w:rsidTr="00BD63BB">
        <w:tc>
          <w:tcPr>
            <w:tcW w:w="4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10" w:rsidRPr="003530E4" w:rsidRDefault="00F71010" w:rsidP="00086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>О проведении профильной смены «Русский язык/литература»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10" w:rsidRPr="003530E4" w:rsidRDefault="00F71010" w:rsidP="00086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>1 ноября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10" w:rsidRPr="003530E4" w:rsidRDefault="00393868" w:rsidP="00086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>пресс-служба департамента образования, науки и молодежной политики Воронежской области</w:t>
            </w:r>
          </w:p>
        </w:tc>
      </w:tr>
      <w:tr w:rsidR="00393868" w:rsidRPr="003530E4" w:rsidTr="00BD63BB">
        <w:tc>
          <w:tcPr>
            <w:tcW w:w="4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jc w:val="center"/>
            </w:pPr>
            <w:r w:rsidRPr="003530E4">
              <w:t>О проведении курсов повышения квалификации для педагогов «Введение в подготовку школьников к олимпиадам по химии»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jc w:val="center"/>
            </w:pPr>
            <w:r w:rsidRPr="003530E4">
              <w:t>5 ноября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jc w:val="center"/>
            </w:pPr>
            <w:r w:rsidRPr="003530E4">
              <w:t>пресс-служба департамента образования, науки и молодежной политики Воронежской области</w:t>
            </w:r>
          </w:p>
        </w:tc>
      </w:tr>
      <w:tr w:rsidR="00393868" w:rsidRPr="003530E4" w:rsidTr="00BD63BB">
        <w:tc>
          <w:tcPr>
            <w:tcW w:w="4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>О проведении областной краеведческой конференции школьников «История населенных пунктов Воронежской области»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>8 ноября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jc w:val="center"/>
            </w:pPr>
            <w:r w:rsidRPr="003530E4">
              <w:t>пресс-служба департамента образования, науки и молодежной политики Воронежской области</w:t>
            </w:r>
          </w:p>
        </w:tc>
      </w:tr>
      <w:tr w:rsidR="00393868" w:rsidRPr="003530E4" w:rsidTr="00BD63BB">
        <w:tc>
          <w:tcPr>
            <w:tcW w:w="4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lastRenderedPageBreak/>
              <w:t>О проведении математического флэшмоба «</w:t>
            </w:r>
            <w:r w:rsidRPr="003530E4">
              <w:rPr>
                <w:lang w:val="en-US"/>
              </w:rPr>
              <w:t>Matcat</w:t>
            </w:r>
            <w:r w:rsidRPr="003530E4">
              <w:t>-2019»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>8 ноября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jc w:val="center"/>
            </w:pPr>
            <w:r w:rsidRPr="003530E4">
              <w:t>пресс-служба департамента образования, науки и молодежной политики Воронежской области</w:t>
            </w:r>
          </w:p>
        </w:tc>
      </w:tr>
      <w:tr w:rsidR="00393868" w:rsidRPr="003530E4" w:rsidTr="00BD63BB">
        <w:tc>
          <w:tcPr>
            <w:tcW w:w="4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jc w:val="center"/>
            </w:pPr>
            <w:r w:rsidRPr="003530E4">
              <w:t>О проведении регионального этапа Всероссийского конкурса научно - технологических проектов «Большие вызовы» в Воронежской области</w:t>
            </w:r>
          </w:p>
          <w:p w:rsidR="00393868" w:rsidRPr="003530E4" w:rsidRDefault="00393868" w:rsidP="00393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>13 ноября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jc w:val="center"/>
            </w:pPr>
            <w:r w:rsidRPr="003530E4">
              <w:t>пресс-служба департамента образования, науки и молодежной политики Воронежской области</w:t>
            </w:r>
          </w:p>
        </w:tc>
      </w:tr>
      <w:tr w:rsidR="00393868" w:rsidRPr="003530E4" w:rsidTr="00BD63BB">
        <w:tc>
          <w:tcPr>
            <w:tcW w:w="4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jc w:val="center"/>
            </w:pPr>
            <w:r w:rsidRPr="003530E4">
              <w:t xml:space="preserve">Об итогах регионального этапа </w:t>
            </w:r>
            <w:r w:rsidRPr="003530E4">
              <w:rPr>
                <w:lang w:val="en-US"/>
              </w:rPr>
              <w:t>XVI</w:t>
            </w:r>
            <w:r w:rsidRPr="003530E4">
              <w:t xml:space="preserve"> Всероссийского  химического турнира школьников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>13 ноября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jc w:val="center"/>
            </w:pPr>
            <w:r w:rsidRPr="003530E4">
              <w:t>пресс-служба департамента образования, науки и молодежной политики Воронежской области</w:t>
            </w:r>
          </w:p>
        </w:tc>
      </w:tr>
      <w:tr w:rsidR="00393868" w:rsidRPr="003530E4" w:rsidTr="00BD63BB">
        <w:tc>
          <w:tcPr>
            <w:tcW w:w="4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jc w:val="center"/>
            </w:pPr>
            <w:r w:rsidRPr="003530E4">
              <w:t>О проведении областной открытой олимпиады школьников «Турнир юных биологов»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>14 ноября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jc w:val="center"/>
            </w:pPr>
            <w:r w:rsidRPr="003530E4">
              <w:t>пресс-служба департамента образования, науки и молодежной политики Воронежской области</w:t>
            </w:r>
          </w:p>
        </w:tc>
      </w:tr>
      <w:tr w:rsidR="00393868" w:rsidRPr="003530E4" w:rsidTr="00BD63BB">
        <w:tc>
          <w:tcPr>
            <w:tcW w:w="4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jc w:val="center"/>
            </w:pPr>
            <w:r w:rsidRPr="003530E4">
              <w:t xml:space="preserve">О проведении региональной олимпиады по обществознанию, истории и праву совместно с Саратовским юридическим институтом правосудия и адвокатуры 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 xml:space="preserve">16 ноября 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jc w:val="center"/>
            </w:pPr>
            <w:r w:rsidRPr="003530E4">
              <w:t>пресс-служба департамента образования, науки и молодежной политики Воронежской области</w:t>
            </w:r>
          </w:p>
        </w:tc>
      </w:tr>
      <w:tr w:rsidR="00393868" w:rsidRPr="003530E4" w:rsidTr="00BD63BB">
        <w:tc>
          <w:tcPr>
            <w:tcW w:w="4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jc w:val="center"/>
            </w:pPr>
            <w:r w:rsidRPr="003530E4">
              <w:t>О проведении областного фестиваля творчества «Мир талантов»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 xml:space="preserve">15 ноября 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jc w:val="center"/>
            </w:pPr>
            <w:r w:rsidRPr="003530E4">
              <w:t>пресс-служба департамента образования, науки и молодежной политики Воронежской области</w:t>
            </w:r>
          </w:p>
        </w:tc>
      </w:tr>
      <w:tr w:rsidR="00393868" w:rsidRPr="003530E4" w:rsidTr="00BD63BB">
        <w:tc>
          <w:tcPr>
            <w:tcW w:w="4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jc w:val="center"/>
            </w:pPr>
            <w:r w:rsidRPr="003530E4">
              <w:lastRenderedPageBreak/>
              <w:t>О проведении областного (в рамках Всероссийского) конкурса «Подрост – 2019» («За сохранение природы и бережного отношения к лесным богатствам»)</w:t>
            </w:r>
          </w:p>
          <w:p w:rsidR="00393868" w:rsidRPr="003530E4" w:rsidRDefault="00393868" w:rsidP="00393868">
            <w:pPr>
              <w:jc w:val="center"/>
            </w:pP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jc w:val="center"/>
            </w:pPr>
            <w:r w:rsidRPr="003530E4">
              <w:t>25 ноября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868" w:rsidRPr="003530E4" w:rsidRDefault="00393868" w:rsidP="00393868">
            <w:pPr>
              <w:jc w:val="center"/>
            </w:pPr>
            <w:r w:rsidRPr="003530E4">
              <w:t>пресс-служба департамента образования, науки и молодежной политики Воронежской области</w:t>
            </w:r>
          </w:p>
        </w:tc>
      </w:tr>
    </w:tbl>
    <w:p w:rsidR="00BD63BB" w:rsidRPr="003530E4" w:rsidRDefault="00BD63BB" w:rsidP="00086D18">
      <w:pPr>
        <w:numPr>
          <w:ilvl w:val="0"/>
          <w:numId w:val="1"/>
        </w:numPr>
        <w:spacing w:before="0" w:after="0"/>
        <w:ind w:left="0" w:firstLine="360"/>
        <w:jc w:val="both"/>
      </w:pPr>
      <w:r w:rsidRPr="003530E4">
        <w:t>Сотрудник, ответственный за заполнение настоящей формы и координацию действий с Министерством просвещения Российской Федерации</w:t>
      </w:r>
    </w:p>
    <w:tbl>
      <w:tblPr>
        <w:tblW w:w="1441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7"/>
        <w:gridCol w:w="4806"/>
        <w:gridCol w:w="4806"/>
      </w:tblGrid>
      <w:tr w:rsidR="00BD63BB" w:rsidRPr="003530E4" w:rsidTr="00BD63BB">
        <w:tc>
          <w:tcPr>
            <w:tcW w:w="4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086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>ФИО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086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>Должность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086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>Контактная информация</w:t>
            </w:r>
          </w:p>
        </w:tc>
      </w:tr>
      <w:tr w:rsidR="00C73B82" w:rsidRPr="003530E4" w:rsidTr="00BD63BB">
        <w:tc>
          <w:tcPr>
            <w:tcW w:w="4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82" w:rsidRPr="003530E4" w:rsidRDefault="00C73B82" w:rsidP="00C73B82">
            <w:r w:rsidRPr="003530E4">
              <w:t>Слукина Елена Александровна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82" w:rsidRPr="003530E4" w:rsidRDefault="00C73B82" w:rsidP="00C73B82">
            <w:r w:rsidRPr="003530E4">
              <w:t>Ведущий консультант отдела дополнительного образования, воспитания детей и молодежи департамента образования, науки и молодежной политики Воронежской области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82" w:rsidRPr="003530E4" w:rsidRDefault="00C73B82" w:rsidP="00C73B82">
            <w:pPr>
              <w:jc w:val="both"/>
            </w:pPr>
            <w:r w:rsidRPr="003530E4">
              <w:t>8(473) 212-75-46</w:t>
            </w:r>
          </w:p>
          <w:p w:rsidR="00C73B82" w:rsidRPr="003530E4" w:rsidRDefault="00C73B82" w:rsidP="00C73B82">
            <w:r w:rsidRPr="003530E4">
              <w:t>8920-2124299</w:t>
            </w:r>
          </w:p>
        </w:tc>
      </w:tr>
    </w:tbl>
    <w:p w:rsidR="00BD63BB" w:rsidRDefault="00BD63BB">
      <w:pPr>
        <w:spacing w:before="0" w:after="200" w:line="276" w:lineRule="auto"/>
      </w:pPr>
    </w:p>
    <w:p w:rsidR="00AE0CE2" w:rsidRDefault="00AE0CE2">
      <w:pPr>
        <w:spacing w:before="0" w:after="200" w:line="276" w:lineRule="auto"/>
      </w:pPr>
    </w:p>
    <w:p w:rsidR="00AE0CE2" w:rsidRPr="003530E4" w:rsidRDefault="00AE0CE2">
      <w:pPr>
        <w:spacing w:before="0" w:after="200" w:line="276" w:lineRule="auto"/>
      </w:pPr>
    </w:p>
    <w:p w:rsidR="003E570D" w:rsidRDefault="003E570D" w:rsidP="00BD63BB">
      <w:pPr>
        <w:spacing w:before="0" w:after="0" w:line="360" w:lineRule="auto"/>
        <w:ind w:left="360"/>
        <w:jc w:val="right"/>
        <w:rPr>
          <w:i/>
          <w:iCs/>
        </w:rPr>
      </w:pPr>
    </w:p>
    <w:p w:rsidR="003E570D" w:rsidRDefault="003E570D" w:rsidP="00BD63BB">
      <w:pPr>
        <w:spacing w:before="0" w:after="0" w:line="360" w:lineRule="auto"/>
        <w:ind w:left="360"/>
        <w:jc w:val="right"/>
        <w:rPr>
          <w:i/>
          <w:iCs/>
        </w:rPr>
      </w:pPr>
    </w:p>
    <w:p w:rsidR="003E570D" w:rsidRDefault="003E570D" w:rsidP="00BD63BB">
      <w:pPr>
        <w:spacing w:before="0" w:after="0" w:line="360" w:lineRule="auto"/>
        <w:ind w:left="360"/>
        <w:jc w:val="right"/>
        <w:rPr>
          <w:i/>
          <w:iCs/>
        </w:rPr>
      </w:pPr>
    </w:p>
    <w:p w:rsidR="00050CE3" w:rsidRDefault="00050CE3" w:rsidP="00BD63BB">
      <w:pPr>
        <w:spacing w:before="0" w:after="0" w:line="360" w:lineRule="auto"/>
        <w:ind w:left="360"/>
        <w:jc w:val="right"/>
        <w:rPr>
          <w:i/>
          <w:iCs/>
        </w:rPr>
      </w:pPr>
    </w:p>
    <w:p w:rsidR="00050CE3" w:rsidRDefault="00050CE3" w:rsidP="00BD63BB">
      <w:pPr>
        <w:spacing w:before="0" w:after="0" w:line="360" w:lineRule="auto"/>
        <w:ind w:left="360"/>
        <w:jc w:val="right"/>
        <w:rPr>
          <w:i/>
          <w:iCs/>
        </w:rPr>
      </w:pPr>
    </w:p>
    <w:p w:rsidR="00050CE3" w:rsidRDefault="00050CE3" w:rsidP="00BD63BB">
      <w:pPr>
        <w:spacing w:before="0" w:after="0" w:line="360" w:lineRule="auto"/>
        <w:ind w:left="360"/>
        <w:jc w:val="right"/>
        <w:rPr>
          <w:i/>
          <w:iCs/>
        </w:rPr>
      </w:pPr>
    </w:p>
    <w:p w:rsidR="00050CE3" w:rsidRDefault="00050CE3" w:rsidP="00BD63BB">
      <w:pPr>
        <w:spacing w:before="0" w:after="0" w:line="360" w:lineRule="auto"/>
        <w:ind w:left="360"/>
        <w:jc w:val="right"/>
        <w:rPr>
          <w:i/>
          <w:iCs/>
        </w:rPr>
      </w:pPr>
    </w:p>
    <w:p w:rsidR="00BD63BB" w:rsidRPr="003530E4" w:rsidRDefault="00BD63BB" w:rsidP="00BD63BB">
      <w:pPr>
        <w:spacing w:before="0" w:after="0" w:line="360" w:lineRule="auto"/>
        <w:ind w:left="360"/>
        <w:jc w:val="right"/>
        <w:rPr>
          <w:i/>
          <w:iCs/>
        </w:rPr>
      </w:pPr>
      <w:r w:rsidRPr="003530E4">
        <w:rPr>
          <w:i/>
          <w:iCs/>
        </w:rPr>
        <w:lastRenderedPageBreak/>
        <w:t>Приложение 2</w:t>
      </w:r>
    </w:p>
    <w:p w:rsidR="00BD63BB" w:rsidRPr="003530E4" w:rsidRDefault="00BD63BB" w:rsidP="0018298C">
      <w:pPr>
        <w:spacing w:before="0" w:after="0"/>
        <w:contextualSpacing/>
        <w:jc w:val="center"/>
      </w:pPr>
      <w:r w:rsidRPr="003530E4">
        <w:rPr>
          <w:b/>
        </w:rPr>
        <w:t>ИТОГОВЫЙ МОНИТОРИНГ НА 30 НОЯБРЯ 2019 г.</w:t>
      </w:r>
    </w:p>
    <w:tbl>
      <w:tblPr>
        <w:tblW w:w="150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"/>
        <w:gridCol w:w="4993"/>
        <w:gridCol w:w="9670"/>
      </w:tblGrid>
      <w:tr w:rsidR="00BB0DCE" w:rsidRPr="003530E4" w:rsidTr="00393868">
        <w:trPr>
          <w:trHeight w:val="480"/>
        </w:trPr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CE" w:rsidRPr="003530E4" w:rsidRDefault="00BB0DCE" w:rsidP="00BB0DCE">
            <w:pPr>
              <w:widowControl w:val="0"/>
              <w:spacing w:before="0" w:after="0"/>
              <w:ind w:left="360"/>
            </w:pPr>
          </w:p>
        </w:tc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CE" w:rsidRPr="003530E4" w:rsidRDefault="00BB0DCE" w:rsidP="0018298C">
            <w:pPr>
              <w:widowControl w:val="0"/>
              <w:spacing w:before="0" w:after="0"/>
              <w:contextualSpacing/>
            </w:pPr>
            <w:r w:rsidRPr="003530E4">
              <w:t>Наименования индикатора/показателя</w:t>
            </w:r>
          </w:p>
        </w:tc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CE" w:rsidRPr="003530E4" w:rsidRDefault="00BB0DCE" w:rsidP="0018298C">
            <w:pPr>
              <w:widowControl w:val="0"/>
              <w:spacing w:before="0" w:after="0"/>
              <w:contextualSpacing/>
              <w:jc w:val="center"/>
            </w:pPr>
            <w:r w:rsidRPr="003530E4">
              <w:t>Минимальное значение, начиная с 2019 года создания регионального центра</w:t>
            </w:r>
          </w:p>
        </w:tc>
      </w:tr>
      <w:tr w:rsidR="00BD63BB" w:rsidRPr="003530E4" w:rsidTr="00393868">
        <w:trPr>
          <w:trHeight w:val="480"/>
        </w:trPr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pStyle w:val="a3"/>
              <w:widowControl w:val="0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widowControl w:val="0"/>
              <w:spacing w:before="0" w:after="0"/>
              <w:contextualSpacing/>
            </w:pPr>
            <w:r w:rsidRPr="003530E4">
              <w:t>Субъект Российской Федерации</w:t>
            </w:r>
          </w:p>
        </w:tc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C73B82" w:rsidP="0018298C">
            <w:pPr>
              <w:widowControl w:val="0"/>
              <w:spacing w:before="0" w:after="0"/>
              <w:contextualSpacing/>
              <w:jc w:val="center"/>
            </w:pPr>
            <w:r w:rsidRPr="003530E4">
              <w:t>Воронежская область</w:t>
            </w:r>
          </w:p>
        </w:tc>
      </w:tr>
      <w:tr w:rsidR="00BD63BB" w:rsidRPr="003530E4" w:rsidTr="00393868">
        <w:trPr>
          <w:trHeight w:val="480"/>
        </w:trPr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pStyle w:val="a3"/>
              <w:widowControl w:val="0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widowControl w:val="0"/>
              <w:spacing w:before="0" w:after="0"/>
              <w:contextualSpacing/>
            </w:pPr>
            <w:r w:rsidRPr="003530E4">
              <w:t>Дата открытия Центра</w:t>
            </w:r>
          </w:p>
        </w:tc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C73B82" w:rsidP="0018298C">
            <w:pPr>
              <w:widowControl w:val="0"/>
              <w:spacing w:before="0" w:after="0"/>
              <w:contextualSpacing/>
              <w:jc w:val="center"/>
            </w:pPr>
            <w:r w:rsidRPr="003530E4">
              <w:t>12 декабря 2019 года</w:t>
            </w:r>
          </w:p>
        </w:tc>
      </w:tr>
      <w:tr w:rsidR="00BD63BB" w:rsidRPr="003530E4" w:rsidTr="00393868">
        <w:trPr>
          <w:trHeight w:val="480"/>
        </w:trPr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pStyle w:val="a3"/>
              <w:widowControl w:val="0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widowControl w:val="0"/>
              <w:spacing w:before="0" w:after="0"/>
              <w:contextualSpacing/>
            </w:pPr>
            <w:r w:rsidRPr="003530E4">
              <w:t>Наименование Центра (юридического лица) при открытии</w:t>
            </w:r>
          </w:p>
        </w:tc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C73B82" w:rsidP="0018298C">
            <w:pPr>
              <w:widowControl w:val="0"/>
              <w:spacing w:before="0" w:after="0"/>
              <w:contextualSpacing/>
              <w:jc w:val="center"/>
            </w:pPr>
            <w:r w:rsidRPr="003530E4">
              <w:t>государственное автономное учреждение дополнительного образования Воронежской области «Региональный центр выявления, поддержки и развития способностей и талантов у детей и молодежи</w:t>
            </w:r>
            <w:r w:rsidR="00DF43CF">
              <w:t xml:space="preserve"> «Орион</w:t>
            </w:r>
            <w:r w:rsidRPr="003530E4">
              <w:t>» (ГАУ ДО ВО «Региональный центр</w:t>
            </w:r>
            <w:r w:rsidR="00DF43CF">
              <w:t xml:space="preserve"> «Орион</w:t>
            </w:r>
            <w:r w:rsidRPr="003530E4">
              <w:t>»)</w:t>
            </w:r>
          </w:p>
        </w:tc>
      </w:tr>
      <w:tr w:rsidR="00BD63BB" w:rsidRPr="003530E4" w:rsidTr="00393868">
        <w:trPr>
          <w:trHeight w:val="480"/>
        </w:trPr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pStyle w:val="a3"/>
              <w:widowControl w:val="0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widowControl w:val="0"/>
              <w:spacing w:before="0" w:after="0"/>
              <w:contextualSpacing/>
            </w:pPr>
            <w:r w:rsidRPr="003530E4">
              <w:t>Постоянный информационный ресурс (активная ссылка на сайт Центра)</w:t>
            </w:r>
          </w:p>
        </w:tc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E3" w:rsidRDefault="00AE0CE2" w:rsidP="00F63FE3">
            <w:pPr>
              <w:spacing w:before="0" w:after="0"/>
            </w:pPr>
            <w:r w:rsidRPr="00F63FE3">
              <w:t xml:space="preserve">Постоянный информационный </w:t>
            </w:r>
            <w:r w:rsidR="00C73B82" w:rsidRPr="00F63FE3">
              <w:t>ресурс ГАУ ДО ВО «Регионал</w:t>
            </w:r>
            <w:r w:rsidRPr="00F63FE3">
              <w:t>ьный центр» в стадии разработки: разработано техническое задание, ведется работа по заключению договора.</w:t>
            </w:r>
            <w:r w:rsidR="00C73B82" w:rsidRPr="00F63FE3">
              <w:t xml:space="preserve"> В настоящее время информация </w:t>
            </w:r>
            <w:r w:rsidRPr="00F63FE3">
              <w:t xml:space="preserve">о деятельности ГАУ ДО ВО «Региональный центр» </w:t>
            </w:r>
            <w:r w:rsidR="00C73B82" w:rsidRPr="00F63FE3">
              <w:t xml:space="preserve">размещается на сайте: </w:t>
            </w:r>
            <w:hyperlink r:id="rId8" w:history="1">
              <w:r w:rsidRPr="00F63FE3">
                <w:rPr>
                  <w:rStyle w:val="aa"/>
                  <w:color w:val="auto"/>
                </w:rPr>
                <w:t>http://patriotvrn.ru</w:t>
              </w:r>
            </w:hyperlink>
            <w:r w:rsidRPr="00F63FE3">
              <w:t xml:space="preserve">. </w:t>
            </w:r>
          </w:p>
          <w:p w:rsidR="00BD63BB" w:rsidRPr="00F63FE3" w:rsidRDefault="00AE0CE2" w:rsidP="00F63FE3">
            <w:pPr>
              <w:spacing w:before="0" w:after="0"/>
            </w:pPr>
            <w:r w:rsidRPr="00F63FE3">
              <w:t>Кроме того созданы группы в социальных сетях: Инстаграм (</w:t>
            </w:r>
            <w:r w:rsidRPr="00F63FE3">
              <w:rPr>
                <w:lang w:val="en-US"/>
              </w:rPr>
              <w:t>orion</w:t>
            </w:r>
            <w:r w:rsidRPr="00F63FE3">
              <w:t>_36_</w:t>
            </w:r>
            <w:r w:rsidRPr="00F63FE3">
              <w:rPr>
                <w:lang w:val="en-US"/>
              </w:rPr>
              <w:t>vrn</w:t>
            </w:r>
            <w:r w:rsidR="00F63FE3">
              <w:t>:</w:t>
            </w:r>
            <w:hyperlink r:id="rId9" w:tgtFrame="_blank" w:history="1">
              <w:r w:rsidR="00F63FE3" w:rsidRPr="00F63FE3">
                <w:rPr>
                  <w:rStyle w:val="aa"/>
                  <w:color w:val="auto"/>
                  <w:u w:val="none"/>
                </w:rPr>
                <w:t>https://www.instagram.com/p/B5XZFSuoJqW/?igshid=q4vwsnemu2bl</w:t>
              </w:r>
            </w:hyperlink>
            <w:r w:rsidRPr="00F63FE3">
              <w:t>), ВК (Образовательный центр «Орион36»</w:t>
            </w:r>
            <w:r w:rsidR="00F63FE3">
              <w:t xml:space="preserve">- </w:t>
            </w:r>
            <w:r w:rsidR="00F63FE3" w:rsidRPr="00F63FE3">
              <w:t xml:space="preserve"> </w:t>
            </w:r>
            <w:hyperlink r:id="rId10" w:tgtFrame="_blank" w:history="1">
              <w:r w:rsidR="00F63FE3" w:rsidRPr="00F63FE3">
                <w:rPr>
                  <w:rStyle w:val="aa"/>
                  <w:color w:val="auto"/>
                  <w:u w:val="none"/>
                  <w:shd w:val="clear" w:color="auto" w:fill="FFFFFF"/>
                </w:rPr>
                <w:t>https://vk.com/club188496135</w:t>
              </w:r>
            </w:hyperlink>
            <w:r w:rsidR="00F63FE3" w:rsidRPr="00F63FE3">
              <w:t>), Фейсбук (</w:t>
            </w:r>
            <w:hyperlink r:id="rId11" w:tgtFrame="_blank" w:history="1">
              <w:r w:rsidR="00F63FE3" w:rsidRPr="00F63FE3">
                <w:rPr>
                  <w:rStyle w:val="aa"/>
                  <w:color w:val="auto"/>
                  <w:u w:val="none"/>
                  <w:shd w:val="clear" w:color="auto" w:fill="FFFFFF"/>
                </w:rPr>
                <w:t>https://www.facebook.com/groups/2375221692586398/?ref=share</w:t>
              </w:r>
            </w:hyperlink>
            <w:r w:rsidR="00F63FE3" w:rsidRPr="00F63FE3">
              <w:t>)</w:t>
            </w:r>
            <w:r w:rsidRPr="00F63FE3">
              <w:t>_</w:t>
            </w:r>
          </w:p>
        </w:tc>
      </w:tr>
      <w:tr w:rsidR="00BD63BB" w:rsidRPr="003530E4" w:rsidTr="00393868"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pStyle w:val="a3"/>
              <w:widowControl w:val="0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widowControl w:val="0"/>
              <w:spacing w:before="0" w:after="0"/>
              <w:contextualSpacing/>
            </w:pPr>
            <w:r w:rsidRPr="003530E4">
              <w:t>Общий объем программ дополнительного образования детей, проведенных на регулярной (еженедельной) основе (человеко-часов</w:t>
            </w:r>
            <w:r w:rsidR="00BB0DCE" w:rsidRPr="003530E4">
              <w:t xml:space="preserve"> </w:t>
            </w:r>
            <w:r w:rsidR="00BB0DCE" w:rsidRPr="003530E4">
              <w:rPr>
                <w:b/>
              </w:rPr>
              <w:t>на 1 млн. населения</w:t>
            </w:r>
            <w:r w:rsidRPr="003530E4">
              <w:t>)</w:t>
            </w:r>
          </w:p>
        </w:tc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DF43CF" w:rsidP="0018298C">
            <w:pPr>
              <w:widowControl w:val="0"/>
              <w:spacing w:before="0" w:after="0"/>
              <w:contextualSpacing/>
              <w:jc w:val="center"/>
            </w:pPr>
            <w:r>
              <w:t>58196 (в соответствии с конкурсной документацией 25</w:t>
            </w:r>
            <w:r w:rsidR="00C73B82" w:rsidRPr="003530E4">
              <w:t>000</w:t>
            </w:r>
            <w:r>
              <w:t>)</w:t>
            </w:r>
          </w:p>
        </w:tc>
      </w:tr>
      <w:tr w:rsidR="00BD63BB" w:rsidRPr="003530E4" w:rsidTr="00393868"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pStyle w:val="a3"/>
              <w:widowControl w:val="0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widowControl w:val="0"/>
              <w:spacing w:before="0" w:after="0"/>
              <w:contextualSpacing/>
            </w:pPr>
            <w:r w:rsidRPr="003530E4">
              <w:t>Общий объем проведенных профильных региональных смен (человеко-дней)</w:t>
            </w:r>
          </w:p>
        </w:tc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C73B82" w:rsidP="0018298C">
            <w:pPr>
              <w:widowControl w:val="0"/>
              <w:spacing w:before="0" w:after="0"/>
              <w:contextualSpacing/>
              <w:jc w:val="center"/>
            </w:pPr>
            <w:r w:rsidRPr="003530E4">
              <w:t>10 000</w:t>
            </w:r>
          </w:p>
        </w:tc>
      </w:tr>
      <w:tr w:rsidR="00BD63BB" w:rsidRPr="003530E4" w:rsidTr="00393868"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pStyle w:val="a3"/>
              <w:widowControl w:val="0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18298C" w:rsidP="00050CE3">
            <w:pPr>
              <w:widowControl w:val="0"/>
              <w:spacing w:before="0" w:after="0"/>
              <w:contextualSpacing/>
            </w:pPr>
            <w:r w:rsidRPr="003530E4">
              <w:t>Доля</w:t>
            </w:r>
            <w:r w:rsidR="00BD63BB" w:rsidRPr="003530E4">
              <w:t xml:space="preserve"> детей (5-11 классы), </w:t>
            </w:r>
            <w:r w:rsidRPr="003530E4">
              <w:t xml:space="preserve">обучающихся в 5-11 классах, </w:t>
            </w:r>
            <w:r w:rsidR="00BD63BB" w:rsidRPr="003530E4">
              <w:t xml:space="preserve">вовлеченных в мероприятия </w:t>
            </w:r>
            <w:r w:rsidRPr="003530E4">
              <w:t xml:space="preserve">по </w:t>
            </w:r>
            <w:r w:rsidRPr="003530E4">
              <w:lastRenderedPageBreak/>
              <w:t xml:space="preserve">выявлению и сопровождению </w:t>
            </w:r>
            <w:r w:rsidR="00BD63BB" w:rsidRPr="003530E4">
              <w:t>для одаренных детей</w:t>
            </w:r>
          </w:p>
        </w:tc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C73B82" w:rsidP="0018298C">
            <w:pPr>
              <w:widowControl w:val="0"/>
              <w:spacing w:before="0" w:after="0"/>
              <w:contextualSpacing/>
              <w:jc w:val="center"/>
            </w:pPr>
            <w:r w:rsidRPr="003530E4">
              <w:lastRenderedPageBreak/>
              <w:t>10</w:t>
            </w:r>
            <w:r w:rsidR="000F708C">
              <w:t xml:space="preserve"> %</w:t>
            </w:r>
          </w:p>
        </w:tc>
      </w:tr>
      <w:tr w:rsidR="00BD63BB" w:rsidRPr="003530E4" w:rsidTr="00393868"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pStyle w:val="a3"/>
              <w:widowControl w:val="0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widowControl w:val="0"/>
              <w:spacing w:before="0" w:after="0"/>
              <w:contextualSpacing/>
            </w:pPr>
            <w:r w:rsidRPr="003530E4">
              <w:t>Численность детей, участвующих в программах с применением дистанционных технологий</w:t>
            </w:r>
          </w:p>
        </w:tc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C73B82" w:rsidP="0018298C">
            <w:pPr>
              <w:widowControl w:val="0"/>
              <w:spacing w:before="0" w:after="0"/>
              <w:contextualSpacing/>
              <w:jc w:val="center"/>
            </w:pPr>
            <w:r w:rsidRPr="003530E4">
              <w:t>3000</w:t>
            </w:r>
          </w:p>
        </w:tc>
      </w:tr>
      <w:tr w:rsidR="00BD63BB" w:rsidRPr="003530E4" w:rsidTr="00393868"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pStyle w:val="a3"/>
              <w:widowControl w:val="0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widowControl w:val="0"/>
              <w:spacing w:before="0" w:after="0"/>
              <w:contextualSpacing/>
            </w:pPr>
            <w:r w:rsidRPr="003530E4">
              <w:t xml:space="preserve">Число проведенных региональных мероприятий по выявлению выдающихся способностей </w:t>
            </w:r>
            <w:r w:rsidR="0018298C" w:rsidRPr="003530E4">
              <w:t xml:space="preserve">и высокой мотивации </w:t>
            </w:r>
            <w:r w:rsidRPr="003530E4">
              <w:t>у детей и молодежи (олимпиады, конкурсы, очные отборочные туры в О</w:t>
            </w:r>
            <w:r w:rsidR="0018298C" w:rsidRPr="003530E4">
              <w:t>бразовательный центр «</w:t>
            </w:r>
            <w:r w:rsidRPr="003530E4">
              <w:t>Сириус</w:t>
            </w:r>
            <w:r w:rsidR="0018298C" w:rsidRPr="003530E4">
              <w:t>»</w:t>
            </w:r>
            <w:r w:rsidRPr="003530E4">
              <w:t>)</w:t>
            </w:r>
          </w:p>
        </w:tc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C73B82" w:rsidP="0018298C">
            <w:pPr>
              <w:widowControl w:val="0"/>
              <w:spacing w:before="0" w:after="0"/>
              <w:contextualSpacing/>
              <w:jc w:val="center"/>
            </w:pPr>
            <w:r w:rsidRPr="003530E4">
              <w:t>40</w:t>
            </w:r>
          </w:p>
        </w:tc>
      </w:tr>
      <w:tr w:rsidR="00BD63BB" w:rsidRPr="003530E4" w:rsidTr="00393868"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pStyle w:val="a3"/>
              <w:widowControl w:val="0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widowControl w:val="0"/>
              <w:spacing w:before="0" w:after="0"/>
              <w:contextualSpacing/>
            </w:pPr>
            <w:r w:rsidRPr="003530E4">
              <w:t xml:space="preserve">Число детей, включенных в </w:t>
            </w:r>
            <w:r w:rsidR="0018298C" w:rsidRPr="003530E4">
              <w:t>Государственный информационный ресурс</w:t>
            </w:r>
            <w:r w:rsidRPr="003530E4">
              <w:t xml:space="preserve"> о детях, проявивших выдающиеся способности</w:t>
            </w:r>
            <w:r w:rsidR="00BB0DCE" w:rsidRPr="003530E4">
              <w:t xml:space="preserve"> (человек </w:t>
            </w:r>
            <w:r w:rsidR="00BB0DCE" w:rsidRPr="003530E4">
              <w:rPr>
                <w:b/>
              </w:rPr>
              <w:t>на 1 млн. населения)</w:t>
            </w:r>
          </w:p>
        </w:tc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0F708C" w:rsidP="0018298C">
            <w:pPr>
              <w:widowControl w:val="0"/>
              <w:spacing w:before="0" w:after="0"/>
              <w:contextualSpacing/>
              <w:jc w:val="center"/>
            </w:pPr>
            <w:r>
              <w:t xml:space="preserve">2328 (в соответствии с конкурсной документацией </w:t>
            </w:r>
            <w:r w:rsidR="00C73B82" w:rsidRPr="003530E4">
              <w:t>1000</w:t>
            </w:r>
            <w:r>
              <w:t>)</w:t>
            </w:r>
          </w:p>
        </w:tc>
      </w:tr>
      <w:tr w:rsidR="00BD63BB" w:rsidRPr="003530E4" w:rsidTr="00393868"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pStyle w:val="a3"/>
              <w:widowControl w:val="0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widowControl w:val="0"/>
              <w:spacing w:before="0" w:after="0"/>
              <w:contextualSpacing/>
            </w:pPr>
            <w:r w:rsidRPr="003530E4">
              <w:t>Численность педагогов</w:t>
            </w:r>
            <w:r w:rsidR="0018298C" w:rsidRPr="003530E4">
              <w:t xml:space="preserve"> (наставников)</w:t>
            </w:r>
            <w:r w:rsidRPr="003530E4">
              <w:t xml:space="preserve">, </w:t>
            </w:r>
            <w:r w:rsidR="0018298C" w:rsidRPr="003530E4">
              <w:t xml:space="preserve">специалистов муниципальных и региональных организаций, НКО, прошедших обучение по программам и методикам </w:t>
            </w:r>
            <w:r w:rsidRPr="003530E4">
              <w:t>прошедших обучение по программам и методикам работы с одаренными детьми (человек)</w:t>
            </w:r>
          </w:p>
        </w:tc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C73B82" w:rsidP="0018298C">
            <w:pPr>
              <w:widowControl w:val="0"/>
              <w:spacing w:before="0" w:after="0"/>
              <w:contextualSpacing/>
              <w:jc w:val="center"/>
            </w:pPr>
            <w:r w:rsidRPr="003530E4">
              <w:t>100</w:t>
            </w:r>
          </w:p>
        </w:tc>
      </w:tr>
      <w:tr w:rsidR="00BD63BB" w:rsidRPr="003530E4" w:rsidTr="00393868"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pStyle w:val="a3"/>
              <w:widowControl w:val="0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widowControl w:val="0"/>
              <w:spacing w:before="0" w:after="0"/>
              <w:contextualSpacing/>
            </w:pPr>
            <w:r w:rsidRPr="003530E4">
              <w:t xml:space="preserve">Доля сотрудников Центра, прошедших обучение </w:t>
            </w:r>
            <w:r w:rsidR="0018298C" w:rsidRPr="003530E4">
              <w:t xml:space="preserve">(повышение квалификации, стажировку) </w:t>
            </w:r>
            <w:r w:rsidRPr="003530E4">
              <w:t xml:space="preserve">по программам и методикам работы с одаренными детьми </w:t>
            </w:r>
            <w:r w:rsidR="0018298C" w:rsidRPr="003530E4">
              <w:t xml:space="preserve">на площадках ведущих организаций по работе с одаренным детьми </w:t>
            </w:r>
            <w:r w:rsidRPr="003530E4">
              <w:t>(процентов)</w:t>
            </w:r>
          </w:p>
        </w:tc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C73B82" w:rsidP="0018298C">
            <w:pPr>
              <w:widowControl w:val="0"/>
              <w:spacing w:before="0" w:after="0"/>
              <w:contextualSpacing/>
              <w:jc w:val="center"/>
            </w:pPr>
            <w:r w:rsidRPr="003530E4">
              <w:t>100</w:t>
            </w:r>
          </w:p>
        </w:tc>
      </w:tr>
      <w:tr w:rsidR="00BD63BB" w:rsidRPr="003530E4" w:rsidTr="00393868"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pStyle w:val="a3"/>
              <w:widowControl w:val="0"/>
              <w:numPr>
                <w:ilvl w:val="0"/>
                <w:numId w:val="2"/>
              </w:numPr>
              <w:spacing w:before="0" w:after="0"/>
              <w:ind w:left="0" w:firstLine="0"/>
            </w:pPr>
          </w:p>
        </w:tc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BD63BB" w:rsidP="0018298C">
            <w:pPr>
              <w:widowControl w:val="0"/>
              <w:spacing w:before="0" w:after="0"/>
              <w:contextualSpacing/>
            </w:pPr>
            <w:r w:rsidRPr="003530E4">
              <w:t>Доля педагогов Центра, принявших участие в организации образовательных программ или прошедших обучение</w:t>
            </w:r>
            <w:r w:rsidR="0018298C" w:rsidRPr="003530E4">
              <w:t xml:space="preserve"> (повышение квалификации, стажировку) по программам и методикам работы с одаренными детьми на площадке Образовательного центра «Сириус»</w:t>
            </w:r>
            <w:r w:rsidRPr="003530E4">
              <w:t xml:space="preserve"> (процентов)</w:t>
            </w:r>
          </w:p>
        </w:tc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3BB" w:rsidRPr="003530E4" w:rsidRDefault="00C73B82" w:rsidP="0018298C">
            <w:pPr>
              <w:widowControl w:val="0"/>
              <w:spacing w:before="0" w:after="0"/>
              <w:contextualSpacing/>
              <w:jc w:val="center"/>
            </w:pPr>
            <w:r w:rsidRPr="003530E4">
              <w:t>50</w:t>
            </w:r>
          </w:p>
        </w:tc>
      </w:tr>
    </w:tbl>
    <w:p w:rsidR="008F54B4" w:rsidRPr="003530E4" w:rsidRDefault="008F54B4" w:rsidP="0018298C">
      <w:pPr>
        <w:spacing w:before="0" w:after="0"/>
        <w:contextualSpacing/>
      </w:pPr>
    </w:p>
    <w:sectPr w:rsidR="008F54B4" w:rsidRPr="003530E4" w:rsidSect="0018298C">
      <w:headerReference w:type="defaul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47" w:rsidRDefault="009A1947" w:rsidP="0018298C">
      <w:pPr>
        <w:spacing w:before="0" w:after="0"/>
      </w:pPr>
      <w:r>
        <w:separator/>
      </w:r>
    </w:p>
  </w:endnote>
  <w:endnote w:type="continuationSeparator" w:id="0">
    <w:p w:rsidR="009A1947" w:rsidRDefault="009A1947" w:rsidP="001829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47" w:rsidRDefault="009A1947" w:rsidP="0018298C">
      <w:pPr>
        <w:spacing w:before="0" w:after="0"/>
      </w:pPr>
      <w:r>
        <w:separator/>
      </w:r>
    </w:p>
  </w:footnote>
  <w:footnote w:type="continuationSeparator" w:id="0">
    <w:p w:rsidR="009A1947" w:rsidRDefault="009A1947" w:rsidP="001829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16974"/>
      <w:docPartObj>
        <w:docPartGallery w:val="Page Numbers (Top of Page)"/>
        <w:docPartUnique/>
      </w:docPartObj>
    </w:sdtPr>
    <w:sdtEndPr/>
    <w:sdtContent>
      <w:p w:rsidR="0018298C" w:rsidRDefault="00A8031D">
        <w:pPr>
          <w:pStyle w:val="a4"/>
          <w:jc w:val="center"/>
        </w:pPr>
        <w:r>
          <w:fldChar w:fldCharType="begin"/>
        </w:r>
        <w:r w:rsidR="0018298C">
          <w:instrText>PAGE   \* MERGEFORMAT</w:instrText>
        </w:r>
        <w:r>
          <w:fldChar w:fldCharType="separate"/>
        </w:r>
        <w:r w:rsidR="00751B4C">
          <w:rPr>
            <w:noProof/>
          </w:rPr>
          <w:t>4</w:t>
        </w:r>
        <w:r>
          <w:fldChar w:fldCharType="end"/>
        </w:r>
      </w:p>
    </w:sdtContent>
  </w:sdt>
  <w:p w:rsidR="0018298C" w:rsidRDefault="001829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492F"/>
    <w:multiLevelType w:val="multilevel"/>
    <w:tmpl w:val="BF3614CE"/>
    <w:lvl w:ilvl="0">
      <w:start w:val="1"/>
      <w:numFmt w:val="decimal"/>
      <w:lvlText w:val="%1."/>
      <w:lvlJc w:val="right"/>
      <w:pPr>
        <w:ind w:left="928" w:hanging="360"/>
      </w:pPr>
      <w:rPr>
        <w:i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F04195"/>
    <w:multiLevelType w:val="multilevel"/>
    <w:tmpl w:val="8826937A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6D1DF0"/>
    <w:multiLevelType w:val="hybridMultilevel"/>
    <w:tmpl w:val="7CCAF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6B"/>
    <w:rsid w:val="00021FB5"/>
    <w:rsid w:val="00050CE3"/>
    <w:rsid w:val="00063DF3"/>
    <w:rsid w:val="00086D18"/>
    <w:rsid w:val="00092750"/>
    <w:rsid w:val="000F708C"/>
    <w:rsid w:val="00131AC8"/>
    <w:rsid w:val="0018298C"/>
    <w:rsid w:val="001E7C41"/>
    <w:rsid w:val="003530E4"/>
    <w:rsid w:val="00393868"/>
    <w:rsid w:val="003E570D"/>
    <w:rsid w:val="00425A73"/>
    <w:rsid w:val="004C0236"/>
    <w:rsid w:val="00655987"/>
    <w:rsid w:val="00746FC0"/>
    <w:rsid w:val="00751B4C"/>
    <w:rsid w:val="007C246B"/>
    <w:rsid w:val="008D5388"/>
    <w:rsid w:val="008F54B4"/>
    <w:rsid w:val="00907B6F"/>
    <w:rsid w:val="00912B99"/>
    <w:rsid w:val="0097799E"/>
    <w:rsid w:val="009A1947"/>
    <w:rsid w:val="009E3E5F"/>
    <w:rsid w:val="00A8031D"/>
    <w:rsid w:val="00AE0CE2"/>
    <w:rsid w:val="00B1158D"/>
    <w:rsid w:val="00B3577D"/>
    <w:rsid w:val="00BB0DCE"/>
    <w:rsid w:val="00BD63BB"/>
    <w:rsid w:val="00C5035C"/>
    <w:rsid w:val="00C711E5"/>
    <w:rsid w:val="00C73B82"/>
    <w:rsid w:val="00CC3AF7"/>
    <w:rsid w:val="00CF75C6"/>
    <w:rsid w:val="00DF43CF"/>
    <w:rsid w:val="00E36B7B"/>
    <w:rsid w:val="00EC6072"/>
    <w:rsid w:val="00EF72A4"/>
    <w:rsid w:val="00F63FE3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54370-2892-4DD1-A6F1-2A07F950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3DF3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98C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182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298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182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0D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D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B115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158D"/>
    <w:pPr>
      <w:widowControl w:val="0"/>
      <w:shd w:val="clear" w:color="auto" w:fill="FFFFFF"/>
      <w:spacing w:before="240" w:after="0" w:line="317" w:lineRule="exact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1158D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90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63D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063DF3"/>
    <w:rPr>
      <w:b/>
      <w:bCs/>
    </w:rPr>
  </w:style>
  <w:style w:type="character" w:customStyle="1" w:styleId="29pt">
    <w:name w:val="Основной текст (2) + 9 pt;Полужирный"/>
    <w:basedOn w:val="21"/>
    <w:rsid w:val="00063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C02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riotvr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n.patriot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2375221692586398/?ref=shar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club188496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5XZFSuoJqW/?igshid=q4vwsnemu2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Екатерина Юрьевна</dc:creator>
  <cp:lastModifiedBy>ПК</cp:lastModifiedBy>
  <cp:revision>2</cp:revision>
  <cp:lastPrinted>2019-11-29T09:38:00Z</cp:lastPrinted>
  <dcterms:created xsi:type="dcterms:W3CDTF">2019-11-29T15:10:00Z</dcterms:created>
  <dcterms:modified xsi:type="dcterms:W3CDTF">2019-11-29T15:10:00Z</dcterms:modified>
</cp:coreProperties>
</file>